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DE" w:rsidRDefault="005213DE" w:rsidP="005213DE">
      <w:pPr>
        <w:shd w:val="clear" w:color="auto" w:fill="FFFFFF"/>
        <w:spacing w:after="0" w:line="240" w:lineRule="auto"/>
        <w:jc w:val="center"/>
        <w:rPr>
          <w:rFonts w:eastAsia="Times New Roman"/>
          <w:b/>
          <w:bCs/>
          <w:color w:val="000000" w:themeColor="text1"/>
          <w:lang w:eastAsia="hr-HR"/>
        </w:rPr>
      </w:pPr>
      <w:bookmarkStart w:id="0" w:name="_GoBack"/>
      <w:bookmarkEnd w:id="0"/>
      <w:r>
        <w:rPr>
          <w:rFonts w:eastAsia="Times New Roman"/>
          <w:b/>
          <w:bCs/>
          <w:color w:val="000000" w:themeColor="text1"/>
          <w:lang w:eastAsia="hr-HR"/>
        </w:rPr>
        <w:t>UPUTE ZA STRANKE VEZANO ZA ZEMLJIŠNOKNJIŽNI ODJEL</w:t>
      </w:r>
    </w:p>
    <w:p w:rsidR="005213DE" w:rsidRDefault="005213DE" w:rsidP="005213DE">
      <w:pPr>
        <w:shd w:val="clear" w:color="auto" w:fill="FFFFFF"/>
        <w:spacing w:after="0" w:line="240" w:lineRule="auto"/>
        <w:rPr>
          <w:rFonts w:eastAsia="Times New Roman"/>
          <w:b/>
          <w:bCs/>
          <w:color w:val="000000" w:themeColor="text1"/>
          <w:lang w:eastAsia="hr-HR"/>
        </w:rPr>
      </w:pPr>
    </w:p>
    <w:p w:rsidR="005213DE" w:rsidRDefault="005213DE" w:rsidP="005213DE">
      <w:pPr>
        <w:shd w:val="clear" w:color="auto" w:fill="FFFFFF"/>
        <w:spacing w:after="0" w:line="240" w:lineRule="auto"/>
        <w:rPr>
          <w:rFonts w:eastAsia="Times New Roman"/>
          <w:b/>
          <w:bCs/>
          <w:color w:val="000000" w:themeColor="text1"/>
          <w:lang w:eastAsia="hr-HR"/>
        </w:rPr>
      </w:pPr>
    </w:p>
    <w:p w:rsidR="005213DE" w:rsidRPr="00FF373D" w:rsidRDefault="005213DE" w:rsidP="005213DE">
      <w:pPr>
        <w:shd w:val="clear" w:color="auto" w:fill="FFFFFF"/>
        <w:spacing w:after="0" w:line="240" w:lineRule="auto"/>
        <w:rPr>
          <w:rFonts w:eastAsia="Times New Roman"/>
          <w:color w:val="000000" w:themeColor="text1"/>
          <w:lang w:eastAsia="hr-HR"/>
        </w:rPr>
      </w:pPr>
      <w:r w:rsidRPr="00FF373D">
        <w:rPr>
          <w:rFonts w:eastAsia="Times New Roman"/>
          <w:b/>
          <w:bCs/>
          <w:color w:val="000000" w:themeColor="text1"/>
          <w:lang w:eastAsia="hr-HR"/>
        </w:rPr>
        <w:t>U ime stranke prijedlog, uz odgovarajuću punomoć, može podnijeti:</w:t>
      </w:r>
    </w:p>
    <w:p w:rsidR="005213DE" w:rsidRPr="00FF373D" w:rsidRDefault="005213DE" w:rsidP="005213DE">
      <w:pPr>
        <w:shd w:val="clear" w:color="auto" w:fill="FFFFFF"/>
        <w:spacing w:after="0" w:line="240" w:lineRule="auto"/>
        <w:rPr>
          <w:rFonts w:eastAsia="Times New Roman"/>
          <w:color w:val="000000" w:themeColor="text1"/>
          <w:lang w:eastAsia="hr-HR"/>
        </w:rPr>
      </w:pPr>
      <w:r w:rsidRPr="00FF373D">
        <w:rPr>
          <w:rFonts w:eastAsia="Times New Roman"/>
          <w:color w:val="000000" w:themeColor="text1"/>
          <w:lang w:eastAsia="hr-HR"/>
        </w:rPr>
        <w:t> </w:t>
      </w:r>
    </w:p>
    <w:p w:rsidR="005213DE" w:rsidRPr="00FF373D" w:rsidRDefault="005213DE" w:rsidP="005213DE">
      <w:pPr>
        <w:numPr>
          <w:ilvl w:val="0"/>
          <w:numId w:val="1"/>
        </w:numPr>
        <w:shd w:val="clear" w:color="auto" w:fill="FFFFFF"/>
        <w:spacing w:after="0" w:line="240" w:lineRule="auto"/>
        <w:rPr>
          <w:rFonts w:eastAsia="Times New Roman"/>
          <w:color w:val="000000" w:themeColor="text1"/>
          <w:lang w:eastAsia="hr-HR"/>
        </w:rPr>
      </w:pPr>
      <w:r w:rsidRPr="00FF373D">
        <w:rPr>
          <w:rFonts w:eastAsia="Times New Roman"/>
          <w:color w:val="000000" w:themeColor="text1"/>
          <w:lang w:eastAsia="hr-HR"/>
        </w:rPr>
        <w:t>odvjetnik</w:t>
      </w:r>
    </w:p>
    <w:p w:rsidR="005213DE" w:rsidRPr="00FF373D" w:rsidRDefault="005213DE" w:rsidP="005213DE">
      <w:pPr>
        <w:numPr>
          <w:ilvl w:val="0"/>
          <w:numId w:val="1"/>
        </w:numPr>
        <w:shd w:val="clear" w:color="auto" w:fill="FFFFFF"/>
        <w:spacing w:after="0" w:line="240" w:lineRule="auto"/>
        <w:rPr>
          <w:rFonts w:eastAsia="Times New Roman"/>
          <w:color w:val="000000" w:themeColor="text1"/>
          <w:lang w:eastAsia="hr-HR"/>
        </w:rPr>
      </w:pPr>
      <w:r w:rsidRPr="00FF373D">
        <w:rPr>
          <w:rFonts w:eastAsia="Times New Roman"/>
          <w:color w:val="000000" w:themeColor="text1"/>
          <w:lang w:eastAsia="hr-HR"/>
        </w:rPr>
        <w:t>osoba koja je s njom u radnom odnosu, ako je potpuno poslovno sposobna i ako se ne bavi nadripisarstvom</w:t>
      </w:r>
    </w:p>
    <w:p w:rsidR="005213DE" w:rsidRPr="00FF373D" w:rsidRDefault="005213DE" w:rsidP="005213DE">
      <w:pPr>
        <w:numPr>
          <w:ilvl w:val="0"/>
          <w:numId w:val="1"/>
        </w:numPr>
        <w:shd w:val="clear" w:color="auto" w:fill="FFFFFF"/>
        <w:spacing w:after="0" w:line="240" w:lineRule="auto"/>
        <w:rPr>
          <w:rFonts w:eastAsia="Times New Roman"/>
          <w:color w:val="000000" w:themeColor="text1"/>
          <w:lang w:eastAsia="hr-HR"/>
        </w:rPr>
      </w:pPr>
      <w:r w:rsidRPr="00FF373D">
        <w:rPr>
          <w:rFonts w:eastAsia="Times New Roman"/>
          <w:color w:val="000000" w:themeColor="text1"/>
          <w:lang w:eastAsia="hr-HR"/>
        </w:rPr>
        <w:t>srodnik po krvi u pravoj liniji, brat, sestra ili bračni drug - ako je potpuno poslovno sposoban i ako se ne bavi nadripisarstvom</w:t>
      </w:r>
    </w:p>
    <w:p w:rsidR="005213DE" w:rsidRPr="00FF373D" w:rsidRDefault="005213DE" w:rsidP="005213DE">
      <w:pPr>
        <w:numPr>
          <w:ilvl w:val="0"/>
          <w:numId w:val="1"/>
        </w:numPr>
        <w:shd w:val="clear" w:color="auto" w:fill="FFFFFF"/>
        <w:spacing w:after="0" w:line="240" w:lineRule="auto"/>
        <w:rPr>
          <w:rFonts w:eastAsia="Times New Roman"/>
          <w:color w:val="000000" w:themeColor="text1"/>
          <w:lang w:eastAsia="hr-HR"/>
        </w:rPr>
      </w:pPr>
      <w:r w:rsidRPr="00FF373D">
        <w:rPr>
          <w:rFonts w:eastAsia="Times New Roman"/>
          <w:color w:val="000000" w:themeColor="text1"/>
          <w:lang w:eastAsia="hr-HR"/>
        </w:rPr>
        <w:t>javni bilježnik u nespornim stvarima, ako su te stvari u neposrednoj vezi s kojom njegovom ispravom</w:t>
      </w:r>
    </w:p>
    <w:p w:rsidR="005213DE" w:rsidRDefault="005213DE" w:rsidP="00C957DC">
      <w:pPr>
        <w:pStyle w:val="box460490"/>
        <w:shd w:val="clear" w:color="auto" w:fill="FFFFFF"/>
        <w:spacing w:before="204" w:beforeAutospacing="0" w:after="72" w:afterAutospacing="0"/>
        <w:jc w:val="center"/>
        <w:textAlignment w:val="baseline"/>
        <w:rPr>
          <w:rFonts w:ascii="Minion Pro" w:hAnsi="Minion Pro"/>
          <w:color w:val="231F20"/>
          <w:sz w:val="26"/>
          <w:szCs w:val="26"/>
        </w:rPr>
      </w:pPr>
    </w:p>
    <w:p w:rsidR="00C957DC" w:rsidRDefault="00C957DC" w:rsidP="00C957DC">
      <w:pPr>
        <w:pStyle w:val="box460490"/>
        <w:shd w:val="clear" w:color="auto" w:fill="FFFFFF"/>
        <w:spacing w:before="204" w:beforeAutospacing="0" w:after="72" w:afterAutospacing="0"/>
        <w:jc w:val="center"/>
        <w:textAlignment w:val="baseline"/>
        <w:rPr>
          <w:rFonts w:ascii="Minion Pro" w:hAnsi="Minion Pro"/>
          <w:color w:val="231F20"/>
          <w:sz w:val="26"/>
          <w:szCs w:val="26"/>
        </w:rPr>
      </w:pPr>
      <w:r>
        <w:rPr>
          <w:rFonts w:ascii="Minion Pro" w:hAnsi="Minion Pro"/>
          <w:color w:val="231F20"/>
          <w:sz w:val="26"/>
          <w:szCs w:val="26"/>
        </w:rPr>
        <w:t>Uredba o tarifi sudskih pristojbi</w:t>
      </w:r>
    </w:p>
    <w:p w:rsidR="00C957DC" w:rsidRDefault="00C957DC" w:rsidP="00C957DC">
      <w:pPr>
        <w:pStyle w:val="box460490"/>
        <w:shd w:val="clear" w:color="auto" w:fill="FFFFFF"/>
        <w:spacing w:before="204" w:beforeAutospacing="0" w:after="72" w:afterAutospacing="0"/>
        <w:jc w:val="center"/>
        <w:textAlignment w:val="baseline"/>
        <w:rPr>
          <w:color w:val="231F20"/>
          <w:sz w:val="26"/>
          <w:szCs w:val="26"/>
        </w:rPr>
      </w:pPr>
      <w:r>
        <w:rPr>
          <w:rFonts w:ascii="Minion Pro" w:hAnsi="Minion Pro"/>
          <w:color w:val="231F20"/>
          <w:sz w:val="26"/>
          <w:szCs w:val="26"/>
        </w:rPr>
        <w:br/>
      </w:r>
      <w:r>
        <w:rPr>
          <w:color w:val="231F20"/>
          <w:sz w:val="26"/>
          <w:szCs w:val="26"/>
        </w:rPr>
        <w:t>ZEMLJIŠNOKNJIŽNI POSTUPAK</w:t>
      </w:r>
    </w:p>
    <w:p w:rsidR="00C957DC" w:rsidRDefault="00C957DC" w:rsidP="00C957DC">
      <w:pPr>
        <w:pStyle w:val="box460490"/>
        <w:shd w:val="clear" w:color="auto" w:fill="FFFFFF"/>
        <w:spacing w:before="68" w:beforeAutospacing="0" w:after="72" w:afterAutospacing="0"/>
        <w:jc w:val="center"/>
        <w:textAlignment w:val="baseline"/>
        <w:rPr>
          <w:i/>
          <w:iCs/>
          <w:color w:val="231F20"/>
          <w:sz w:val="26"/>
          <w:szCs w:val="26"/>
        </w:rPr>
      </w:pPr>
      <w:r>
        <w:rPr>
          <w:i/>
          <w:iCs/>
          <w:color w:val="231F20"/>
          <w:sz w:val="26"/>
          <w:szCs w:val="26"/>
        </w:rPr>
        <w:t>Podnesci</w:t>
      </w:r>
    </w:p>
    <w:p w:rsidR="00C957DC" w:rsidRDefault="00C957DC" w:rsidP="00C957DC">
      <w:pPr>
        <w:pStyle w:val="box460490"/>
        <w:shd w:val="clear" w:color="auto" w:fill="FFFFFF"/>
        <w:spacing w:before="34" w:beforeAutospacing="0" w:after="48" w:afterAutospacing="0"/>
        <w:jc w:val="center"/>
        <w:textAlignment w:val="baseline"/>
        <w:rPr>
          <w:color w:val="231F20"/>
        </w:rPr>
      </w:pPr>
      <w:r>
        <w:rPr>
          <w:color w:val="231F20"/>
        </w:rPr>
        <w:t>Tar. br. 14.</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(1) Za podnesak kojim se traži upis u zemljišnu knjigu ili brisanje iz zemljišne knjige plaća se pristojba od 50,00 kuna.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(2) Za podnesak kojim se pokreće pojedinačni zemljišnoknjižni ispravni postupak plaća se pristojba od 250,00 kuna.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(3) Za podnesak iz stavka 1. ovog Tar. br. podnesen nakon isteka roka od 60 dana od dana stjecanja uvjeta za upis tog prava plaća se pristojba u peterostrukom iznosu pristojbe iz stavka 1. ovog Tar. br.</w:t>
      </w:r>
    </w:p>
    <w:p w:rsidR="00C957DC" w:rsidRDefault="00C957DC" w:rsidP="00C957DC">
      <w:pPr>
        <w:pStyle w:val="box460490"/>
        <w:shd w:val="clear" w:color="auto" w:fill="FFFFFF"/>
        <w:spacing w:before="0" w:beforeAutospacing="0" w:after="0" w:afterAutospacing="0"/>
        <w:ind w:firstLine="408"/>
        <w:textAlignment w:val="baseline"/>
        <w:rPr>
          <w:color w:val="231F20"/>
        </w:rPr>
      </w:pPr>
      <w:r>
        <w:rPr>
          <w:rStyle w:val="kurziv"/>
          <w:rFonts w:ascii="Minion Pro" w:hAnsi="Minion Pro"/>
          <w:i/>
          <w:iCs/>
          <w:color w:val="231F20"/>
          <w:bdr w:val="none" w:sz="0" w:space="0" w:color="auto" w:frame="1"/>
        </w:rPr>
        <w:t>Napomena: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1. Ako se jednim podneskom traži upis ili brisanje kod više sudova, plaća se pristojba onoliko puta koliko ima sudova kod kojih se upis ili brisanje treba obaviti. Isto vrijedi i u slučaju zajedničkog založnog prava, kada treba provesti upise i u sporednim ulošcima kod raznih sudova, bez obzira što stranke u svom podnesku izričito ne traže te upise.</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2. Ako se jednim podneskom predlaže više upisa, plaća se jedna pristojba za podnesak.</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3. Ako je zahtjev za upis stavljen u nekom od podnesaka iz stavaka 1. i 2. Tar. br. 1., neće se naplaćivati i pristojba za podnesak iz ovoga Tar. br.</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4. Za podnesak kojim se podnosi prijava ili prigovor u pojedinačnom ispravnom postupku plaća se pristojba iz stavka 1. ovoga Tar. br.</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5. Ne plaća se pristojba iz ovoga Tar. br. za podneske kod:</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1) poduzimanja službenih radnji u postupku osnivanja, obnove i dopune zemljišnih knjiga, osim ako je greška nastala krivnjom nositelja prava, kao i u postupku komasacije. U ovim postupcima oslobođenje se odnosi na sve podneske, uloške i priloge. Ovo oslobođenje vrijedi i za postupak obnavljanja uništenih zemljišnih knjiga ako se vjerodostojnom ispravom utvrdi da je upis bio prije proveden i da je bila plaćena pristojba za taj upis</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 xml:space="preserve">2) provođenja diobe prava vlasništva ili prava </w:t>
      </w:r>
      <w:proofErr w:type="spellStart"/>
      <w:r>
        <w:rPr>
          <w:color w:val="231F20"/>
        </w:rPr>
        <w:t>plodouživanja</w:t>
      </w:r>
      <w:proofErr w:type="spellEnd"/>
      <w:r>
        <w:rPr>
          <w:color w:val="231F20"/>
        </w:rPr>
        <w:t xml:space="preserve"> ako su </w:t>
      </w:r>
      <w:proofErr w:type="spellStart"/>
      <w:r>
        <w:rPr>
          <w:color w:val="231F20"/>
        </w:rPr>
        <w:t>diobničari</w:t>
      </w:r>
      <w:proofErr w:type="spellEnd"/>
      <w:r>
        <w:rPr>
          <w:color w:val="231F20"/>
        </w:rPr>
        <w:t xml:space="preserve"> bili upisani kao suvlasnici ili </w:t>
      </w:r>
      <w:proofErr w:type="spellStart"/>
      <w:r>
        <w:rPr>
          <w:color w:val="231F20"/>
        </w:rPr>
        <w:t>suovlaštenici</w:t>
      </w:r>
      <w:proofErr w:type="spellEnd"/>
      <w:r>
        <w:rPr>
          <w:color w:val="231F20"/>
        </w:rPr>
        <w:t xml:space="preserve"> tih prava. To oslobođenje vrijedi i u slučaju diobe obiteljskih (kućnih) zadruga na zadrugare ako je zadruga bila upisana kao vlasnik u zemljišnim knjigama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lastRenderedPageBreak/>
        <w:t>3) upisa na temelju rješenja o nasljeđivanju</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4) upisa u korist Republike Hrvatske te jedinica lokalne i područne (regionalne) samouprave</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5) upisa u zemljišne knjige na temelju Zakona o poljoprivrednom zemljištu, Zakona o šumama i Pomorskog zakonika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6) upisa koji se odnose na razmjenu zemljišta u svrhu arondacije i na temelju Zakona o izvlaštenju</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7) upisa izvršenih u svrhu odobravanja bankarskog kredita za izgradnju, rekonstrukciju ili adaptaciju objekta uništenog ili oštećenog uslijed ratnog razaranja te upisa založnog prava osnovanog na temelju ugovora o bankarskom kreditu odobrenog za izgradnju, rekonstrukciju ili adaptaciju objekta uništenog ili oštećenog uslijed ratnih razaranja.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6. Ne plaća se pristojba za podneske koji nisu naznačeni u ovom Tar. br. i za priloge uz podneske.</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 xml:space="preserve">7. Ne plaća se pristojba iz ovoga Tar. br. ako je prijedlog za upis stavljen na temelju javnobilježničkog akta ili privatne isprave </w:t>
      </w:r>
      <w:proofErr w:type="spellStart"/>
      <w:r>
        <w:rPr>
          <w:color w:val="231F20"/>
        </w:rPr>
        <w:t>solemnizirane</w:t>
      </w:r>
      <w:proofErr w:type="spellEnd"/>
      <w:r>
        <w:rPr>
          <w:color w:val="231F20"/>
        </w:rPr>
        <w:t xml:space="preserve"> po javnom bilježniku.</w:t>
      </w:r>
    </w:p>
    <w:p w:rsidR="00C957DC" w:rsidRDefault="00C957DC" w:rsidP="00C957DC">
      <w:pPr>
        <w:pStyle w:val="box4604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Upisi</w:t>
      </w:r>
    </w:p>
    <w:p w:rsidR="00C957DC" w:rsidRDefault="00C957DC" w:rsidP="00C957DC">
      <w:pPr>
        <w:pStyle w:val="box460490"/>
        <w:shd w:val="clear" w:color="auto" w:fill="FFFFFF"/>
        <w:spacing w:before="34" w:beforeAutospacing="0" w:after="48" w:afterAutospacing="0"/>
        <w:jc w:val="center"/>
        <w:textAlignment w:val="baseline"/>
        <w:rPr>
          <w:color w:val="231F20"/>
        </w:rPr>
      </w:pPr>
      <w:r>
        <w:rPr>
          <w:color w:val="231F20"/>
        </w:rPr>
        <w:t>Tar. br. 15.</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(1) Za uknjižbu ili predbilježbu prava vlasništva i drugih stvarnih prava plaća se pristojba od 200,00 kuna.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(2) Za zabilježbu se plaća pristojba u iznosu od 50,00 kuna.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(3) Za upise (založno pravo, zabilježba i dr.) obavljene u svrhu odobravanja bankarskog kredita za izgradnju, rekonstrukciju ili adaptaciju objekta u poljodjelstvu kao i kredita za nabavu rasplodnog materijala u stočarstvu, opreme i druga dugoročna ulaganja u oblasti poljodjelstva, stočarstva i ratarstva na temelju ugovora o bankarskom kreditu plaća se 10% pristojbe propisane ovim Tar. br.</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(4) Za upis posebnih dijelova nekretnine (</w:t>
      </w:r>
      <w:proofErr w:type="spellStart"/>
      <w:r>
        <w:rPr>
          <w:color w:val="231F20"/>
        </w:rPr>
        <w:t>etažiranje</w:t>
      </w:r>
      <w:proofErr w:type="spellEnd"/>
      <w:r>
        <w:rPr>
          <w:color w:val="231F20"/>
        </w:rPr>
        <w:t>), kao i u postupku povezivanja zemljišne knjige i knjige položenih ugovora plaća se pristojba prema broju posebnih dijelova: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 upis do 10 posebnih dijelova u iznosu od 100,00 kuna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 upis 11 – 100 posebnih dijelova u iznosu od 300,00 kuna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 upis 101 – 500 posebnih dijelova u iznosu od 500,00 kuna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 upis više od 500 posebnih dijelova u iznosu od 1000,00 kuna.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(5) Za upis iz stavka 1. ovoga Tar. br. predložen nakon isteka roka od 60 dana od dana stjecanja uvjeta za upis tog prava pristojba za upis plaća se pristojbe u peterostrukom iznosu za tu vrstu upisa.</w:t>
      </w:r>
    </w:p>
    <w:p w:rsidR="00C957DC" w:rsidRDefault="00C957DC" w:rsidP="00C957DC">
      <w:pPr>
        <w:pStyle w:val="box460490"/>
        <w:shd w:val="clear" w:color="auto" w:fill="FFFFFF"/>
        <w:spacing w:before="0" w:beforeAutospacing="0" w:after="0" w:afterAutospacing="0"/>
        <w:ind w:firstLine="408"/>
        <w:textAlignment w:val="baseline"/>
        <w:rPr>
          <w:color w:val="231F20"/>
        </w:rPr>
      </w:pPr>
      <w:r>
        <w:rPr>
          <w:rStyle w:val="kurziv"/>
          <w:rFonts w:ascii="Minion Pro" w:hAnsi="Minion Pro"/>
          <w:i/>
          <w:iCs/>
          <w:color w:val="231F20"/>
          <w:bdr w:val="none" w:sz="0" w:space="0" w:color="auto" w:frame="1"/>
        </w:rPr>
        <w:t>Napomena: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1. Pristojbu za upis dužna je platiti osoba koja podnosi prijedlog za upis.</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2. Ako se na temelju jednog prijedloga upisuje više prava u korist jedne osobe kod istog suda, pristojba se plaća za upis svakog prava posebno.</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3. Pristojba za upis plaća se i kada se upis vrši tijekom parničnog, izvanparničnog ili ovršnog postupka, osim ako je ispravu temeljem koje je potrebno provesti upis dostavio sud odnosno drugo nadležno tijelo.</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4. Pristojba za upis plaća se i kada se upis provodi u pojedinačnom ispravnom postupku.</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5. Pristojba za upis prema ovom Tar. br. plaća se uz pristojbu za podnesak.</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6. Ne plaća se pristojba za: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1) upis opravdanja predbilježbe</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lastRenderedPageBreak/>
        <w:t>2) upis potpunog ili djelomičnog brisanja nekog upisanog prava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3) službene radnje u postupku osnivanja, obnove i dopune zemljišnih knjiga, osim ako je greška nastala krivnjom nositelja prava, kao i u postupku komasacije. U ovim postupcima oslobođenje se odnosi na sve podneske, uloške i priloge. Ovo oslobođenje vrijedi i za postupak obnavljanja uništenih zemljišnih knjiga ako se vjerodostojnom ispravom utvrdi da je upis bio prije proveden i da je bila plaćena pristojba za taj upis.</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4) ponovni upis istog, makar djelomično i utrnulog prava, uslijed parničnog ili ovršnog postupka, u korist iste osobe</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5) upis istog, makar djelomično i utrnulog prava, na više nekretnina koje se vode u knjigama jednog suda ili više sudova, za prijenos istog prava s jedne nekretnine na drugu nekretninu istog vlasnika, za ograničenje ili sužavanje istog prava na jedan dio iste nekretnine, za proširenje istog prava i na druge nekretnine istog vlasnika te za proširenje zajedničkog jamstva na pojedina zemljišnoknjižna tijela. Ovo oslobođenje vrijedi samo ako nisu nastupile promjene glede opsega prava ili ovlaštene osobe.</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 xml:space="preserve">6) provođenje diobe prava vlasništva ili prava </w:t>
      </w:r>
      <w:proofErr w:type="spellStart"/>
      <w:r>
        <w:rPr>
          <w:color w:val="231F20"/>
        </w:rPr>
        <w:t>plodouživanja</w:t>
      </w:r>
      <w:proofErr w:type="spellEnd"/>
      <w:r>
        <w:rPr>
          <w:color w:val="231F20"/>
        </w:rPr>
        <w:t xml:space="preserve"> ako su </w:t>
      </w:r>
      <w:proofErr w:type="spellStart"/>
      <w:r>
        <w:rPr>
          <w:color w:val="231F20"/>
        </w:rPr>
        <w:t>diobničari</w:t>
      </w:r>
      <w:proofErr w:type="spellEnd"/>
      <w:r>
        <w:rPr>
          <w:color w:val="231F20"/>
        </w:rPr>
        <w:t xml:space="preserve"> bili upisani kao suvlasnici ili </w:t>
      </w:r>
      <w:proofErr w:type="spellStart"/>
      <w:r>
        <w:rPr>
          <w:color w:val="231F20"/>
        </w:rPr>
        <w:t>suovlaštenici</w:t>
      </w:r>
      <w:proofErr w:type="spellEnd"/>
      <w:r>
        <w:rPr>
          <w:color w:val="231F20"/>
        </w:rPr>
        <w:t xml:space="preserve"> tih prava. Ovo oslobođenje vrijedi i u slučaju diobe obiteljskih (kućnih) zadruga na zadrugare ako je zadruga bila upisana kao vlasnik u zemljišnim knjigama.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7) upis na temelju rješenja o nasljeđivanju</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8) upis založnog prava na nekretnini jamca ako je to pravo već upisano i na nekretnini glavnog dužnika i ako je za taj upis plaćena pristojba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9) upise u korist Republike Hrvatske i jedinica lokalne i područne (regionalne) samouprave</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10) naknadni upis suvlasništva bračnih drugova na temelju sudske odluke ako je jedan od bračnih drugova upisan kao vlasnik u zemljišnim knjigama i za upis kojim se označava idealni dio svakog bračnog druga na nekretninama koje su u njihovom suvlasništvu</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11) upise u zemljišne knjige na temelju Zakona o poljoprivrednom zemljištu, Zakona o šumama i Pomorskog zakonika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12) upise koji se odnose na razmjenu zemljišta u svrhu arondacije i upise na temelju Zakona o izvlaštenju</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13) upise izvršene u svrhu odobravanja bankarskog kredita za izgradnju, rekonstrukciju ili adaptaciju objekta uništenog ili oštećenog uslijed ratnog razaranja te upise založnog prava osnovanog na temelju ugovora o bankarskom kreditu odobrenom za izgradnju, rekonstrukciju ili adaptaciju objekta uništenog ili oštećenog uslijed ratnih razaranja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 xml:space="preserve">14) upise na temelju javnobilježničkog akta ili privatne isprave </w:t>
      </w:r>
      <w:proofErr w:type="spellStart"/>
      <w:r>
        <w:rPr>
          <w:color w:val="231F20"/>
        </w:rPr>
        <w:t>solemnizirane</w:t>
      </w:r>
      <w:proofErr w:type="spellEnd"/>
      <w:r>
        <w:rPr>
          <w:color w:val="231F20"/>
        </w:rPr>
        <w:t xml:space="preserve"> po javnom bilježniku.</w:t>
      </w:r>
    </w:p>
    <w:p w:rsidR="00C957DC" w:rsidRDefault="00C957DC" w:rsidP="00C957DC">
      <w:pPr>
        <w:pStyle w:val="box4604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Prigovor i žalba</w:t>
      </w:r>
    </w:p>
    <w:p w:rsidR="00C957DC" w:rsidRDefault="00C957DC" w:rsidP="00C957DC">
      <w:pPr>
        <w:pStyle w:val="box460490"/>
        <w:shd w:val="clear" w:color="auto" w:fill="FFFFFF"/>
        <w:spacing w:before="34" w:beforeAutospacing="0" w:after="48" w:afterAutospacing="0"/>
        <w:jc w:val="center"/>
        <w:textAlignment w:val="baseline"/>
        <w:rPr>
          <w:color w:val="231F20"/>
        </w:rPr>
      </w:pPr>
      <w:r>
        <w:rPr>
          <w:color w:val="231F20"/>
        </w:rPr>
        <w:t>Tar. br. 16.</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Za prigovor i žalbu protiv rješenja u zemljišnoknjižnom postupku plaća se pristojba u iznosu od 250,00 kuna.</w:t>
      </w:r>
    </w:p>
    <w:p w:rsidR="00C957DC" w:rsidRDefault="00C957DC" w:rsidP="00C957DC">
      <w:pPr>
        <w:pStyle w:val="box460490"/>
        <w:shd w:val="clear" w:color="auto" w:fill="FFFFFF"/>
        <w:spacing w:before="0" w:beforeAutospacing="0" w:after="0" w:afterAutospacing="0"/>
        <w:ind w:firstLine="408"/>
        <w:textAlignment w:val="baseline"/>
        <w:rPr>
          <w:color w:val="231F20"/>
        </w:rPr>
      </w:pPr>
      <w:r>
        <w:rPr>
          <w:rStyle w:val="kurziv"/>
          <w:rFonts w:ascii="Minion Pro" w:hAnsi="Minion Pro"/>
          <w:i/>
          <w:iCs/>
          <w:color w:val="231F20"/>
          <w:bdr w:val="none" w:sz="0" w:space="0" w:color="auto" w:frame="1"/>
        </w:rPr>
        <w:t>Napomena: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Pristojba se plaća samo ako se prigovorom ili žalbom pobija rješenje koje podliježe plaćanju pristojbe po Tar. br. 15.</w:t>
      </w:r>
    </w:p>
    <w:p w:rsidR="00C957DC" w:rsidRDefault="00C957DC" w:rsidP="00C957DC">
      <w:pPr>
        <w:pStyle w:val="box4604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Zemljišnoknjižni izvadak</w:t>
      </w:r>
    </w:p>
    <w:p w:rsidR="00C957DC" w:rsidRDefault="00C957DC" w:rsidP="00C957DC">
      <w:pPr>
        <w:pStyle w:val="box460490"/>
        <w:shd w:val="clear" w:color="auto" w:fill="FFFFFF"/>
        <w:spacing w:before="34" w:beforeAutospacing="0" w:after="48" w:afterAutospacing="0"/>
        <w:jc w:val="center"/>
        <w:textAlignment w:val="baseline"/>
        <w:rPr>
          <w:color w:val="231F20"/>
        </w:rPr>
      </w:pPr>
      <w:r>
        <w:rPr>
          <w:color w:val="231F20"/>
        </w:rPr>
        <w:t>Tar. br. 17.</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lastRenderedPageBreak/>
        <w:t xml:space="preserve">(1) Za izvatke iz zemljišnih knjiga, ako se izdaju na zahtjev stranke, plaća se po </w:t>
      </w:r>
      <w:proofErr w:type="spellStart"/>
      <w:r>
        <w:rPr>
          <w:color w:val="231F20"/>
        </w:rPr>
        <w:t>poluarku</w:t>
      </w:r>
      <w:proofErr w:type="spellEnd"/>
      <w:r>
        <w:rPr>
          <w:color w:val="231F20"/>
        </w:rPr>
        <w:t xml:space="preserve"> pristojba od 20 kuna.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(2) Za ispise iz Baze zemljišnoknjižnih podataka, ako se izdaju na zahtjev stranke, plaća se pristojba u iznosu od 30,00 kuna.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(3) Za povijesne izvatke iz zemljišne knjige i za povijesne ispise iz Baze zemljišnoknjižnih podataka plaća se pristojba u iznosu od 30,00 kuna.</w:t>
      </w:r>
    </w:p>
    <w:p w:rsidR="00C957DC" w:rsidRDefault="00C957DC" w:rsidP="00C957DC">
      <w:pPr>
        <w:pStyle w:val="box460490"/>
        <w:shd w:val="clear" w:color="auto" w:fill="FFFFFF"/>
        <w:spacing w:before="0" w:beforeAutospacing="0" w:after="0" w:afterAutospacing="0"/>
        <w:ind w:firstLine="408"/>
        <w:textAlignment w:val="baseline"/>
        <w:rPr>
          <w:color w:val="231F20"/>
        </w:rPr>
      </w:pPr>
      <w:r>
        <w:rPr>
          <w:rStyle w:val="kurziv"/>
          <w:rFonts w:ascii="Minion Pro" w:hAnsi="Minion Pro"/>
          <w:i/>
          <w:iCs/>
          <w:color w:val="231F20"/>
          <w:bdr w:val="none" w:sz="0" w:space="0" w:color="auto" w:frame="1"/>
        </w:rPr>
        <w:t>Napomena: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1. Ne plaća se pristojba za pisani ili usmeni zahtjev stranke kojim se traži izdavanje izvatka i ispisa iz Baze zemljišnoknjižnih podataka.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2. Ne plaća se pristojba za izvatke iz zemljišnih knjiga i za ispise iz Baze zemljišnoknjižnih podataka koji se izdaju strankama radi ostvarivanja prava na doplatak za djecu, radi ostvarivanja prava iz zdravstvenog, invalidskog i mirovinskog osiguranja i socijalne pomoći ili radi provođenja ostavinskog postupka.</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3. Pristojbe za izvatke iz stavaka 1. do 3. ovoga Tar. br. mogu se platnom karticom uplatiti na daljinu izravno na određeni račun kada se njihovo izdavanje traži putem javnog bilježnika, odvjetnika, kao i putem pravne osobe koja ima javne ovlasti.</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4. Ovaj Tar. br. primjenjuje se na zemljišnoknjižne izvatke iz elektronički vođene zemljišne knjige.</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 xml:space="preserve">5. Pod </w:t>
      </w:r>
      <w:proofErr w:type="spellStart"/>
      <w:r>
        <w:rPr>
          <w:color w:val="231F20"/>
        </w:rPr>
        <w:t>poluarkom</w:t>
      </w:r>
      <w:proofErr w:type="spellEnd"/>
      <w:r>
        <w:rPr>
          <w:color w:val="231F20"/>
        </w:rPr>
        <w:t xml:space="preserve"> se podrazumijeva list papira od dvije strane normalne uredske veličine. Započeti </w:t>
      </w:r>
      <w:proofErr w:type="spellStart"/>
      <w:r>
        <w:rPr>
          <w:color w:val="231F20"/>
        </w:rPr>
        <w:t>poluarak</w:t>
      </w:r>
      <w:proofErr w:type="spellEnd"/>
      <w:r>
        <w:rPr>
          <w:color w:val="231F20"/>
        </w:rPr>
        <w:t xml:space="preserve"> se računa kao cijeli </w:t>
      </w:r>
      <w:proofErr w:type="spellStart"/>
      <w:r>
        <w:rPr>
          <w:color w:val="231F20"/>
        </w:rPr>
        <w:t>poluarak</w:t>
      </w:r>
      <w:proofErr w:type="spellEnd"/>
      <w:r>
        <w:rPr>
          <w:color w:val="231F20"/>
        </w:rPr>
        <w:t>.</w:t>
      </w:r>
    </w:p>
    <w:p w:rsidR="00C957DC" w:rsidRDefault="00C957DC" w:rsidP="00C957DC">
      <w:pPr>
        <w:pStyle w:val="box4604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Preslika ili ispis zbirke isprava</w:t>
      </w:r>
    </w:p>
    <w:p w:rsidR="00C957DC" w:rsidRDefault="00C957DC" w:rsidP="00C957DC">
      <w:pPr>
        <w:pStyle w:val="box460490"/>
        <w:shd w:val="clear" w:color="auto" w:fill="FFFFFF"/>
        <w:spacing w:before="34" w:beforeAutospacing="0" w:after="48" w:afterAutospacing="0"/>
        <w:jc w:val="center"/>
        <w:textAlignment w:val="baseline"/>
        <w:rPr>
          <w:color w:val="231F20"/>
        </w:rPr>
      </w:pPr>
      <w:r>
        <w:rPr>
          <w:color w:val="231F20"/>
        </w:rPr>
        <w:t>Tar. br. 18.</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 xml:space="preserve">Za ovjeru preslike ili ispisa isprava koje se nalaze u zbirci isprava plaća se pristojba u iznosu od 20,00 kuna, bez obzira na broj </w:t>
      </w:r>
      <w:proofErr w:type="spellStart"/>
      <w:r>
        <w:rPr>
          <w:color w:val="231F20"/>
        </w:rPr>
        <w:t>poluaraka</w:t>
      </w:r>
      <w:proofErr w:type="spellEnd"/>
      <w:r>
        <w:rPr>
          <w:color w:val="231F20"/>
        </w:rPr>
        <w:t xml:space="preserve"> izvornika.</w:t>
      </w:r>
    </w:p>
    <w:p w:rsidR="00C957DC" w:rsidRDefault="00C957DC" w:rsidP="00C957DC">
      <w:pPr>
        <w:pStyle w:val="box46049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Preslika ručno vođene zemljišne knjige</w:t>
      </w:r>
    </w:p>
    <w:p w:rsidR="00C957DC" w:rsidRDefault="00C957DC" w:rsidP="00C957DC">
      <w:pPr>
        <w:pStyle w:val="box460490"/>
        <w:shd w:val="clear" w:color="auto" w:fill="FFFFFF"/>
        <w:spacing w:before="34" w:beforeAutospacing="0" w:after="48" w:afterAutospacing="0"/>
        <w:jc w:val="center"/>
        <w:textAlignment w:val="baseline"/>
        <w:rPr>
          <w:color w:val="231F20"/>
        </w:rPr>
      </w:pPr>
      <w:r>
        <w:rPr>
          <w:color w:val="231F20"/>
        </w:rPr>
        <w:t>Tar. br. 19.</w:t>
      </w:r>
    </w:p>
    <w:p w:rsidR="00C957DC" w:rsidRDefault="00C957DC" w:rsidP="00C957DC">
      <w:pPr>
        <w:pStyle w:val="box460490"/>
        <w:shd w:val="clear" w:color="auto" w:fill="FFFFFF"/>
        <w:spacing w:before="0" w:beforeAutospacing="0" w:after="48" w:afterAutospacing="0"/>
        <w:ind w:firstLine="408"/>
        <w:textAlignment w:val="baseline"/>
        <w:rPr>
          <w:color w:val="231F20"/>
        </w:rPr>
      </w:pPr>
      <w:r>
        <w:rPr>
          <w:color w:val="231F20"/>
        </w:rPr>
        <w:t xml:space="preserve">Za ovjeru preslike ručno vođene zemljišne knjige plaća se pristojba u iznosu od 30,00 kuna po </w:t>
      </w:r>
      <w:proofErr w:type="spellStart"/>
      <w:r>
        <w:rPr>
          <w:color w:val="231F20"/>
        </w:rPr>
        <w:t>poluarku</w:t>
      </w:r>
      <w:proofErr w:type="spellEnd"/>
      <w:r>
        <w:rPr>
          <w:color w:val="231F20"/>
        </w:rPr>
        <w:t>.</w:t>
      </w:r>
    </w:p>
    <w:p w:rsidR="00EB346D" w:rsidRDefault="00EB346D"/>
    <w:sectPr w:rsidR="00EB3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793F"/>
    <w:multiLevelType w:val="multilevel"/>
    <w:tmpl w:val="6408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DC"/>
    <w:rsid w:val="005213DE"/>
    <w:rsid w:val="00BE3221"/>
    <w:rsid w:val="00C957DC"/>
    <w:rsid w:val="00D223D5"/>
    <w:rsid w:val="00EB3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2D382-3CDA-4C80-998A-8198B7E4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490">
    <w:name w:val="box_460490"/>
    <w:basedOn w:val="Normal"/>
    <w:rsid w:val="00C957DC"/>
    <w:pPr>
      <w:spacing w:before="100" w:beforeAutospacing="1" w:after="100" w:afterAutospacing="1" w:line="240" w:lineRule="auto"/>
    </w:pPr>
    <w:rPr>
      <w:rFonts w:eastAsia="Times New Roman"/>
      <w:lang w:eastAsia="hr-HR"/>
    </w:rPr>
  </w:style>
  <w:style w:type="character" w:customStyle="1" w:styleId="kurziv">
    <w:name w:val="kurziv"/>
    <w:basedOn w:val="Zadanifontodlomka"/>
    <w:rsid w:val="00C9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8427</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Anđa Marković</dc:creator>
  <cp:keywords/>
  <dc:description/>
  <cp:lastModifiedBy>Angela Anđa Marković</cp:lastModifiedBy>
  <cp:revision>2</cp:revision>
  <dcterms:created xsi:type="dcterms:W3CDTF">2020-11-06T11:39:00Z</dcterms:created>
  <dcterms:modified xsi:type="dcterms:W3CDTF">2020-11-06T11:39:00Z</dcterms:modified>
</cp:coreProperties>
</file>