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54679415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FA7A91" w:rsidRPr="00FA7A91" w:rsidRDefault="00FA7A91" w:rsidP="00FA7A91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 w:rsidR="006321B5">
        <w:rPr>
          <w:sz w:val="24"/>
          <w:szCs w:val="24"/>
        </w:rPr>
        <w:t xml:space="preserve"> 374/2020</w:t>
      </w:r>
    </w:p>
    <w:p w:rsidR="00FA7A91" w:rsidRPr="00FA7A91" w:rsidRDefault="00FA7A91" w:rsidP="00FA7A91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 w:rsidR="006321B5">
        <w:rPr>
          <w:sz w:val="24"/>
          <w:szCs w:val="24"/>
        </w:rPr>
        <w:t xml:space="preserve">26. lipnja </w:t>
      </w:r>
      <w:r w:rsidRPr="00FA7A91">
        <w:rPr>
          <w:sz w:val="24"/>
          <w:szCs w:val="24"/>
        </w:rPr>
        <w:t>2020.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6321B5" w:rsidRPr="006321B5">
        <w:rPr>
          <w:rFonts w:ascii="Times New Roman" w:hAnsi="Times New Roman" w:cs="Times New Roman"/>
          <w:bCs/>
          <w:color w:val="auto"/>
        </w:rPr>
        <w:t>„BON-TON</w:t>
      </w:r>
      <w:r w:rsidR="006321B5">
        <w:rPr>
          <w:rFonts w:ascii="Times New Roman" w:hAnsi="Times New Roman" w:cs="Times New Roman"/>
          <w:bCs/>
          <w:color w:val="auto"/>
        </w:rPr>
        <w:t>“ d.o.o. Zagreb</w:t>
      </w:r>
    </w:p>
    <w:p w:rsidR="006321B5" w:rsidRDefault="006321B5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 xml:space="preserve">  </w:t>
      </w:r>
      <w:proofErr w:type="spellStart"/>
      <w:r>
        <w:rPr>
          <w:rFonts w:ascii="Times New Roman" w:hAnsi="Times New Roman" w:cs="Times New Roman"/>
          <w:bCs/>
          <w:color w:val="auto"/>
        </w:rPr>
        <w:t>Malomlačka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7</w:t>
      </w:r>
    </w:p>
    <w:p w:rsidR="006321B5" w:rsidRPr="006321B5" w:rsidRDefault="006321B5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 xml:space="preserve">  10290 Zagreb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6321B5" w:rsidRPr="006321B5" w:rsidRDefault="006321B5" w:rsidP="006321B5">
      <w:pPr>
        <w:numPr>
          <w:ilvl w:val="0"/>
          <w:numId w:val="7"/>
        </w:numPr>
        <w:jc w:val="both"/>
        <w:rPr>
          <w:sz w:val="24"/>
          <w:szCs w:val="24"/>
        </w:rPr>
      </w:pPr>
      <w:r w:rsidRPr="006321B5">
        <w:rPr>
          <w:sz w:val="24"/>
          <w:szCs w:val="24"/>
        </w:rPr>
        <w:t>Naručitelj: Visoki prekršajni sud Republike Hrvatske, Zagreb, Augusta Šenoe 30, OIB: 02594920860</w:t>
      </w:r>
    </w:p>
    <w:p w:rsidR="006321B5" w:rsidRPr="006321B5" w:rsidRDefault="006321B5" w:rsidP="006321B5">
      <w:pPr>
        <w:numPr>
          <w:ilvl w:val="0"/>
          <w:numId w:val="7"/>
        </w:numPr>
        <w:jc w:val="both"/>
        <w:rPr>
          <w:sz w:val="24"/>
          <w:szCs w:val="24"/>
        </w:rPr>
      </w:pPr>
      <w:r w:rsidRPr="006321B5">
        <w:rPr>
          <w:sz w:val="24"/>
          <w:szCs w:val="24"/>
        </w:rPr>
        <w:t>Predmet nabave: Materijal za higijenske potrebe – tekući sapun (običan i dezinfekcijski), toaletni papir i ručnici</w:t>
      </w:r>
    </w:p>
    <w:p w:rsidR="006321B5" w:rsidRPr="006321B5" w:rsidRDefault="006321B5" w:rsidP="006321B5">
      <w:pPr>
        <w:numPr>
          <w:ilvl w:val="0"/>
          <w:numId w:val="7"/>
        </w:numPr>
        <w:jc w:val="both"/>
        <w:rPr>
          <w:sz w:val="24"/>
          <w:szCs w:val="24"/>
        </w:rPr>
      </w:pPr>
      <w:r w:rsidRPr="006321B5">
        <w:rPr>
          <w:sz w:val="24"/>
          <w:szCs w:val="24"/>
        </w:rPr>
        <w:t>Evidencijski broj nabave: 8</w:t>
      </w:r>
    </w:p>
    <w:p w:rsidR="006321B5" w:rsidRPr="006321B5" w:rsidRDefault="006321B5" w:rsidP="006321B5">
      <w:pPr>
        <w:numPr>
          <w:ilvl w:val="0"/>
          <w:numId w:val="7"/>
        </w:numPr>
        <w:jc w:val="both"/>
        <w:rPr>
          <w:sz w:val="24"/>
          <w:szCs w:val="24"/>
        </w:rPr>
      </w:pPr>
      <w:r w:rsidRPr="006321B5">
        <w:rPr>
          <w:sz w:val="24"/>
          <w:szCs w:val="24"/>
        </w:rPr>
        <w:t>CPV: 33740000-9, 33760000-5</w:t>
      </w:r>
    </w:p>
    <w:p w:rsidR="006321B5" w:rsidRPr="006321B5" w:rsidRDefault="006321B5" w:rsidP="006321B5">
      <w:pPr>
        <w:numPr>
          <w:ilvl w:val="0"/>
          <w:numId w:val="7"/>
        </w:numPr>
        <w:jc w:val="both"/>
        <w:rPr>
          <w:sz w:val="24"/>
          <w:szCs w:val="24"/>
        </w:rPr>
      </w:pPr>
      <w:r w:rsidRPr="006321B5">
        <w:rPr>
          <w:sz w:val="24"/>
          <w:szCs w:val="24"/>
        </w:rPr>
        <w:t>Procijenjena vrijednost nabave: 13.000,00 kuna (bez PDV-a)</w:t>
      </w:r>
    </w:p>
    <w:p w:rsidR="006321B5" w:rsidRPr="006321B5" w:rsidRDefault="006321B5" w:rsidP="006321B5">
      <w:pPr>
        <w:numPr>
          <w:ilvl w:val="0"/>
          <w:numId w:val="7"/>
        </w:numPr>
        <w:jc w:val="both"/>
        <w:rPr>
          <w:sz w:val="24"/>
          <w:szCs w:val="24"/>
        </w:rPr>
      </w:pPr>
      <w:r w:rsidRPr="006321B5">
        <w:rPr>
          <w:sz w:val="24"/>
          <w:szCs w:val="24"/>
        </w:rPr>
        <w:t>Vrsta postupka: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provodi ovaj postupak jednostavne nabave sukladno Pravilniku o postupku jednostavne nabave u Visokom prekršajnom sudu Republike Hrvatske. Navedeni opći akt dostupan</w:t>
      </w:r>
      <w:r w:rsidR="006321B5">
        <w:rPr>
          <w:rFonts w:ascii="Times New Roman" w:hAnsi="Times New Roman" w:cs="Times New Roman"/>
          <w:bCs/>
          <w:color w:val="auto"/>
        </w:rPr>
        <w:t xml:space="preserve"> je na web stranici Naručitelja.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370BC" w:rsidRPr="006321B5" w:rsidRDefault="00EE39C4" w:rsidP="008370BC">
      <w:pPr>
        <w:jc w:val="both"/>
        <w:rPr>
          <w:sz w:val="24"/>
          <w:szCs w:val="24"/>
        </w:rPr>
      </w:pPr>
      <w:bookmarkStart w:id="0" w:name="_GoBack"/>
      <w:bookmarkEnd w:id="0"/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8370BC" w:rsidRPr="006321B5">
        <w:rPr>
          <w:sz w:val="24"/>
          <w:szCs w:val="24"/>
        </w:rPr>
        <w:t>Materijal za higijenske potrebe – tekući sapun (običan i dezinfekcijski), toaletni papir i ručnici</w:t>
      </w:r>
    </w:p>
    <w:p w:rsidR="000D576F" w:rsidRDefault="000D576F" w:rsidP="008370BC">
      <w:pPr>
        <w:jc w:val="both"/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 xml:space="preserve">klapa se </w:t>
      </w:r>
      <w:r w:rsidR="000D576F" w:rsidRPr="002A3C66">
        <w:rPr>
          <w:noProof w:val="0"/>
          <w:color w:val="000000"/>
          <w:sz w:val="24"/>
          <w:szCs w:val="24"/>
        </w:rPr>
        <w:t xml:space="preserve">odmah po okončanju postupka jednostavne nabave </w:t>
      </w:r>
      <w:r w:rsidR="000D576F">
        <w:rPr>
          <w:noProof w:val="0"/>
          <w:color w:val="000000"/>
          <w:sz w:val="24"/>
          <w:szCs w:val="24"/>
        </w:rPr>
        <w:t>na</w:t>
      </w:r>
      <w:r w:rsidR="000D576F" w:rsidRPr="002A3C66">
        <w:rPr>
          <w:noProof w:val="0"/>
          <w:color w:val="000000"/>
          <w:sz w:val="24"/>
          <w:szCs w:val="24"/>
        </w:rPr>
        <w:t xml:space="preserve"> razdoblje od 12 mjeseci.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lastRenderedPageBreak/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48 sati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>mora biti izražena u kunama. Cijena ponude piše se brojkama</w:t>
      </w:r>
      <w:r w:rsidR="00324962">
        <w:rPr>
          <w:rFonts w:ascii="Times New Roman" w:hAnsi="Times New Roman" w:cs="Times New Roman"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Default="001D12FC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Cijenu ponude potrebno je prikazati na način da se iskaže redom: cijena ponude bez PDV-a, iznos PDV-a, cijena ponude s PDV-om.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 xml:space="preserve">(primanje mita u gospodarskom poslovanju), članka 253. (davanje mita u gospodarskom poslovanju), članka 254.(zlouporaba u postupku javne nabave, )članka </w:t>
      </w:r>
      <w:r w:rsidRPr="003848A5">
        <w:rPr>
          <w:rFonts w:ascii="Times New Roman" w:hAnsi="Times New Roman" w:cs="Times New Roman"/>
          <w:sz w:val="24"/>
          <w:szCs w:val="24"/>
        </w:rPr>
        <w:lastRenderedPageBreak/>
        <w:t>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>. Navedeni obrasci su u prilogu ovog Poziva na dostavu 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Naručitelj neće prihvatiti ponudu </w:t>
      </w:r>
      <w:r w:rsidR="00406598">
        <w:rPr>
          <w:rFonts w:ascii="Times New Roman" w:hAnsi="Times New Roman" w:cs="Times New Roman"/>
          <w:bCs/>
          <w:color w:val="auto"/>
        </w:rPr>
        <w:t>ako</w:t>
      </w:r>
      <w:r>
        <w:rPr>
          <w:rFonts w:ascii="Times New Roman" w:hAnsi="Times New Roman" w:cs="Times New Roman"/>
          <w:bCs/>
          <w:color w:val="auto"/>
        </w:rPr>
        <w:t xml:space="preserve">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se izrađuje u papirnatom obliku tako da čini cjelinu, pričvršćena stranica na stranicu.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se piše neizbrisivom tintom,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>(dokazi) može i u neovjerenoj preslici. Ponuda, ponudbeni list, troškovnik trebaju biti potpisani od strane ovlaštene osobe ponuditelja i potvrđeni žigom. Stranice ponude se 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lastRenderedPageBreak/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Cijena ponude mora biti izražena u kunama. Cijena ponude piše se brojkama i slovima,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</w:t>
      </w:r>
      <w:r w:rsidR="003101AB">
        <w:rPr>
          <w:rFonts w:ascii="Times New Roman" w:hAnsi="Times New Roman" w:cs="Times New Roman"/>
          <w:sz w:val="24"/>
          <w:szCs w:val="24"/>
        </w:rPr>
        <w:t>a</w:t>
      </w:r>
      <w:r w:rsidRPr="00BF6CD5">
        <w:rPr>
          <w:rFonts w:ascii="Times New Roman" w:hAnsi="Times New Roman" w:cs="Times New Roman"/>
          <w:sz w:val="24"/>
          <w:szCs w:val="24"/>
        </w:rPr>
        <w:t xml:space="preserve"> se dostavlja u zatvorenoj omotnici s naznakom naziva naručitelja, naziva i adrese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ponuditelja, naziva predmeta nabave, </w:t>
      </w:r>
      <w:proofErr w:type="spellStart"/>
      <w:r w:rsidRPr="00BF6CD5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BF6CD5">
        <w:rPr>
          <w:rFonts w:ascii="Times New Roman" w:hAnsi="Times New Roman" w:cs="Times New Roman"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Pr="00406598" w:rsidRDefault="001C5FD1" w:rsidP="001C5F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406598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406598" w:rsidRPr="00406598">
        <w:rPr>
          <w:rFonts w:ascii="Times New Roman" w:hAnsi="Times New Roman" w:cs="Times New Roman"/>
          <w:b/>
          <w:bCs/>
          <w:color w:val="auto"/>
        </w:rPr>
        <w:t>1. srpnja 2020.</w:t>
      </w:r>
      <w:r w:rsidR="00406598">
        <w:rPr>
          <w:rFonts w:ascii="Times New Roman" w:hAnsi="Times New Roman" w:cs="Times New Roman"/>
          <w:b/>
          <w:bCs/>
          <w:color w:val="auto"/>
        </w:rPr>
        <w:t xml:space="preserve"> (pisanim putem ili osobno na adresu Naručitelja uz naznaku – POSTUPAK JEDNOSTAVNE NABAVE BROJ 41-Su- 374/2020, NE OTVARAJ)</w:t>
      </w: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AD20CD" w:rsidRDefault="00324962" w:rsidP="00BF6CD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kontakt osoba: Martina Bastić </w:t>
      </w:r>
      <w:r w:rsidR="00406598">
        <w:rPr>
          <w:rFonts w:ascii="Times New Roman" w:hAnsi="Times New Roman" w:cs="Times New Roman"/>
          <w:bCs/>
          <w:color w:val="auto"/>
        </w:rPr>
        <w:t xml:space="preserve"> 01 4807 525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Nema gospodarskih subjekata s kojima je naručitelj u sukobu interesa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206C96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DD1871" w:rsidRPr="00406598" w:rsidRDefault="001C66E1" w:rsidP="004065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  <w:r w:rsidR="008E2087" w:rsidRPr="002A3C66">
        <w:rPr>
          <w:rFonts w:ascii="Times New Roman" w:hAnsi="Times New Roman" w:cs="Times New Roman"/>
        </w:rPr>
        <w:tab/>
      </w:r>
      <w:r w:rsidR="008E2087" w:rsidRPr="002A3C66">
        <w:rPr>
          <w:rFonts w:ascii="Times New Roman" w:hAnsi="Times New Roman" w:cs="Times New Roman"/>
        </w:rPr>
        <w:tab/>
      </w:r>
      <w:r w:rsidR="008E2087" w:rsidRPr="002A3C66">
        <w:rPr>
          <w:rFonts w:ascii="Times New Roman" w:hAnsi="Times New Roman" w:cs="Times New Roman"/>
        </w:rPr>
        <w:tab/>
      </w:r>
      <w:r w:rsidR="00DD1871">
        <w:rPr>
          <w:rFonts w:ascii="Times New Roman" w:hAnsi="Times New Roman" w:cs="Times New Roman"/>
        </w:rPr>
        <w:tab/>
      </w:r>
      <w:r w:rsidR="00DD1871">
        <w:rPr>
          <w:rFonts w:ascii="Times New Roman" w:hAnsi="Times New Roman" w:cs="Times New Roman"/>
        </w:rPr>
        <w:tab/>
      </w:r>
      <w:r w:rsidR="00DD1871">
        <w:rPr>
          <w:rFonts w:ascii="Times New Roman" w:hAnsi="Times New Roman" w:cs="Times New Roman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818E3" w:rsidRPr="002A3C66" w:rsidRDefault="003D6BE5" w:rsidP="00406598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B9B28000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36BE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206C96"/>
    <w:rsid w:val="00211B4D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E3EB0"/>
    <w:rsid w:val="003101AB"/>
    <w:rsid w:val="00324962"/>
    <w:rsid w:val="00330ADD"/>
    <w:rsid w:val="003359E8"/>
    <w:rsid w:val="00345224"/>
    <w:rsid w:val="0035257F"/>
    <w:rsid w:val="00363878"/>
    <w:rsid w:val="003A1E80"/>
    <w:rsid w:val="003D123B"/>
    <w:rsid w:val="003D6BE5"/>
    <w:rsid w:val="0040021F"/>
    <w:rsid w:val="00406598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1B5"/>
    <w:rsid w:val="006325CA"/>
    <w:rsid w:val="006542F3"/>
    <w:rsid w:val="00665465"/>
    <w:rsid w:val="00672920"/>
    <w:rsid w:val="006858D3"/>
    <w:rsid w:val="00694346"/>
    <w:rsid w:val="006B0282"/>
    <w:rsid w:val="006B3308"/>
    <w:rsid w:val="00707BF3"/>
    <w:rsid w:val="007234D8"/>
    <w:rsid w:val="00725036"/>
    <w:rsid w:val="007340E5"/>
    <w:rsid w:val="007473AF"/>
    <w:rsid w:val="007506C5"/>
    <w:rsid w:val="00760941"/>
    <w:rsid w:val="007869D5"/>
    <w:rsid w:val="007A58FB"/>
    <w:rsid w:val="007A64B5"/>
    <w:rsid w:val="007B3761"/>
    <w:rsid w:val="00817AEE"/>
    <w:rsid w:val="00831AC9"/>
    <w:rsid w:val="008370BC"/>
    <w:rsid w:val="00864AE0"/>
    <w:rsid w:val="00872958"/>
    <w:rsid w:val="0087390D"/>
    <w:rsid w:val="008A3AB2"/>
    <w:rsid w:val="008A6BDB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404F"/>
    <w:rsid w:val="00B94CDF"/>
    <w:rsid w:val="00B95510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D571E"/>
    <w:rsid w:val="00CE49D3"/>
    <w:rsid w:val="00CE792E"/>
    <w:rsid w:val="00CF775D"/>
    <w:rsid w:val="00D27D19"/>
    <w:rsid w:val="00D5647D"/>
    <w:rsid w:val="00D70E14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C2AE0"/>
    <w:rsid w:val="00EE11F1"/>
    <w:rsid w:val="00EE39C4"/>
    <w:rsid w:val="00EF511F"/>
    <w:rsid w:val="00F005BE"/>
    <w:rsid w:val="00F11380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12ADB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85B0-D3E6-4DA9-ADB3-DA69834D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Matacin</dc:creator>
  <cp:lastModifiedBy>Martina Bastić</cp:lastModifiedBy>
  <cp:revision>5</cp:revision>
  <cp:lastPrinted>2020-03-11T08:36:00Z</cp:lastPrinted>
  <dcterms:created xsi:type="dcterms:W3CDTF">2020-06-25T07:58:00Z</dcterms:created>
  <dcterms:modified xsi:type="dcterms:W3CDTF">2020-06-26T10:24:00Z</dcterms:modified>
</cp:coreProperties>
</file>