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B5" w:rsidRDefault="00A62FB5">
      <w:pPr>
        <w:spacing w:line="480" w:lineRule="auto"/>
      </w:pPr>
    </w:p>
    <w:p w:rsidR="00A62FB5" w:rsidRDefault="006D4876">
      <w:pPr>
        <w:spacing w:line="480" w:lineRule="auto"/>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A62FB5" w:rsidRDefault="006D4876">
                            <w:pPr>
                              <w:jc w:val="center"/>
                              <w:rPr>
                                <w:b/>
                                <w:sz w:val="20"/>
                              </w:rPr>
                            </w:pPr>
                            <w:r>
                              <w:rPr>
                                <w:b/>
                                <w:sz w:val="20"/>
                              </w:rPr>
                              <w:t>REPUBLIKA HRVATSKA</w:t>
                            </w:r>
                          </w:p>
                          <w:p w:rsidR="00A62FB5" w:rsidRDefault="006D4876">
                            <w:pPr>
                              <w:jc w:val="center"/>
                              <w:rPr>
                                <w:b/>
                                <w:sz w:val="20"/>
                              </w:rPr>
                            </w:pPr>
                            <w:r>
                              <w:rPr>
                                <w:b/>
                                <w:sz w:val="20"/>
                              </w:rPr>
                              <w:t>VISOKI UPRAVNI SUD REPUBLIKE HRVATSKE</w:t>
                            </w:r>
                          </w:p>
                          <w:p w:rsidR="00A62FB5" w:rsidRDefault="006D4876">
                            <w:pPr>
                              <w:jc w:val="center"/>
                              <w:rPr>
                                <w:b/>
                                <w:sz w:val="20"/>
                              </w:rPr>
                            </w:pPr>
                            <w:r>
                              <w:rPr>
                                <w:b/>
                                <w:sz w:val="20"/>
                              </w:rPr>
                              <w:t>Z A G R E B</w:t>
                            </w:r>
                          </w:p>
                          <w:p w:rsidR="00A62FB5" w:rsidRDefault="006D4876">
                            <w:pPr>
                              <w:jc w:val="center"/>
                              <w:rPr>
                                <w:b/>
                                <w:sz w:val="20"/>
                              </w:rPr>
                            </w:pPr>
                            <w:r>
                              <w:rPr>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A62FB5" w:rsidRDefault="006D4876">
                      <w:pPr>
                        <w:jc w:val="center"/>
                        <w:rPr>
                          <w:b/>
                          <w:sz w:val="20"/>
                        </w:rPr>
                      </w:pPr>
                      <w:r>
                        <w:rPr>
                          <w:b/>
                          <w:sz w:val="20"/>
                        </w:rPr>
                        <w:t>REPUBLIKA HRVATSKA</w:t>
                      </w:r>
                    </w:p>
                    <w:p w:rsidR="00A62FB5" w:rsidRDefault="006D4876">
                      <w:pPr>
                        <w:jc w:val="center"/>
                        <w:rPr>
                          <w:b/>
                          <w:sz w:val="20"/>
                        </w:rPr>
                      </w:pPr>
                      <w:r>
                        <w:rPr>
                          <w:b/>
                          <w:sz w:val="20"/>
                        </w:rPr>
                        <w:t>VISOKI UPRAVNI SUD REPUBLIKE HRVATSKE</w:t>
                      </w:r>
                    </w:p>
                    <w:p w:rsidR="00A62FB5" w:rsidRDefault="006D4876">
                      <w:pPr>
                        <w:jc w:val="center"/>
                        <w:rPr>
                          <w:b/>
                          <w:sz w:val="20"/>
                        </w:rPr>
                      </w:pPr>
                      <w:r>
                        <w:rPr>
                          <w:b/>
                          <w:sz w:val="20"/>
                        </w:rPr>
                        <w:t>Z A G R E B</w:t>
                      </w:r>
                    </w:p>
                    <w:p w:rsidR="00A62FB5" w:rsidRDefault="006D4876">
                      <w:pPr>
                        <w:jc w:val="center"/>
                        <w:rPr>
                          <w:b/>
                          <w:sz w:val="20"/>
                        </w:rPr>
                      </w:pPr>
                      <w:r>
                        <w:rPr>
                          <w:b/>
                          <w:sz w:val="20"/>
                        </w:rPr>
                        <w:t>Frankopanska 16</w:t>
                      </w:r>
                    </w:p>
                  </w:txbxContent>
                </v:textbox>
              </v:rect>
            </w:pict>
          </mc:Fallback>
        </mc:AlternateContent>
      </w:r>
      <w:r>
        <w:rPr>
          <w:rFonts w:ascii="Times New Roman" w:hAnsi="Times New Roman"/>
        </w:rPr>
        <w:t xml:space="preserve">Poslovni broj: </w:t>
      </w:r>
      <w:bookmarkStart w:id="0" w:name="Broj"/>
      <w:bookmarkEnd w:id="0"/>
      <w:r>
        <w:rPr>
          <w:rFonts w:ascii="Times New Roman" w:hAnsi="Times New Roman"/>
        </w:rPr>
        <w:t>Usž-2799/20-2</w:t>
      </w:r>
    </w:p>
    <w:p w:rsidR="00A62FB5" w:rsidRDefault="00A62FB5">
      <w:pPr>
        <w:spacing w:line="480" w:lineRule="auto"/>
        <w:rPr>
          <w:rFonts w:ascii="Times New Roman" w:hAnsi="Times New Roman"/>
        </w:rPr>
      </w:pPr>
      <w:bookmarkStart w:id="1" w:name="Vrsta"/>
      <w:bookmarkEnd w:id="1"/>
    </w:p>
    <w:p w:rsidR="00A62FB5" w:rsidRDefault="00A62FB5">
      <w:pPr>
        <w:spacing w:line="480" w:lineRule="auto"/>
        <w:rPr>
          <w:rFonts w:ascii="Times New Roman" w:hAnsi="Times New Roman"/>
        </w:rPr>
      </w:pPr>
    </w:p>
    <w:p w:rsidR="00A62FB5" w:rsidRDefault="006D4876">
      <w:pPr>
        <w:jc w:val="center"/>
        <w:rPr>
          <w:rFonts w:ascii="Times New Roman" w:hAnsi="Times New Roman"/>
        </w:rPr>
      </w:pPr>
      <w:r>
        <w:rPr>
          <w:rFonts w:ascii="Times New Roman" w:hAnsi="Times New Roman"/>
        </w:rPr>
        <w:t>U  I M E   R E P U B L I K E   H R V A T S K E</w:t>
      </w:r>
    </w:p>
    <w:p w:rsidR="00A62FB5" w:rsidRDefault="00A62FB5">
      <w:pPr>
        <w:jc w:val="center"/>
        <w:rPr>
          <w:rFonts w:ascii="Times New Roman" w:hAnsi="Times New Roman"/>
        </w:rPr>
      </w:pPr>
    </w:p>
    <w:p w:rsidR="00A62FB5" w:rsidRDefault="006D4876">
      <w:pPr>
        <w:jc w:val="center"/>
        <w:rPr>
          <w:rFonts w:ascii="Times New Roman" w:hAnsi="Times New Roman"/>
        </w:rPr>
      </w:pPr>
      <w:r>
        <w:rPr>
          <w:rFonts w:ascii="Times New Roman" w:hAnsi="Times New Roman"/>
        </w:rPr>
        <w:t>R J E Š E N J E</w:t>
      </w:r>
    </w:p>
    <w:p w:rsidR="00A62FB5" w:rsidRDefault="00A62FB5">
      <w:pPr>
        <w:jc w:val="center"/>
        <w:rPr>
          <w:rFonts w:ascii="Times New Roman" w:hAnsi="Times New Roman"/>
        </w:rPr>
      </w:pPr>
    </w:p>
    <w:p w:rsidR="00A62FB5" w:rsidRDefault="00A62FB5">
      <w:pPr>
        <w:jc w:val="center"/>
        <w:rPr>
          <w:rFonts w:ascii="Times New Roman" w:hAnsi="Times New Roman"/>
        </w:rPr>
      </w:pPr>
    </w:p>
    <w:p w:rsidR="00A62FB5" w:rsidRDefault="006D4876">
      <w:pPr>
        <w:jc w:val="both"/>
        <w:rPr>
          <w:rFonts w:ascii="Times New Roman" w:hAnsi="Times New Roman"/>
        </w:rPr>
      </w:pPr>
      <w:r>
        <w:rPr>
          <w:rFonts w:ascii="Times New Roman" w:hAnsi="Times New Roman"/>
        </w:rPr>
        <w:tab/>
        <w:t xml:space="preserve">Visoki upravni sud Republike Hrvatske u vijeću sastavljenom od </w:t>
      </w:r>
      <w:r>
        <w:rPr>
          <w:rFonts w:ascii="Times New Roman" w:hAnsi="Times New Roman"/>
        </w:rPr>
        <w:t>sudaca toga suda, mr. sc. Mirjane Juričić predsjednice vijeća, Borisa Markovića i Blanše Turić, članova vijeća te više sudske savjetnice Tatjane Ilić, zapisničarke, u upravnom sporu tužitelja M.</w:t>
      </w:r>
      <w:r>
        <w:rPr>
          <w:rFonts w:ascii="Times New Roman" w:hAnsi="Times New Roman"/>
        </w:rPr>
        <w:t xml:space="preserve"> h.</w:t>
      </w:r>
      <w:r>
        <w:rPr>
          <w:rFonts w:ascii="Times New Roman" w:hAnsi="Times New Roman"/>
        </w:rPr>
        <w:t xml:space="preserve"> i l.</w:t>
      </w:r>
      <w:r>
        <w:rPr>
          <w:rFonts w:ascii="Times New Roman" w:hAnsi="Times New Roman"/>
        </w:rPr>
        <w:t xml:space="preserve"> d.d., P.</w:t>
      </w:r>
      <w:r>
        <w:rPr>
          <w:rFonts w:ascii="Times New Roman" w:hAnsi="Times New Roman"/>
        </w:rPr>
        <w:t xml:space="preserve">, </w:t>
      </w:r>
      <w:r>
        <w:rPr>
          <w:rFonts w:ascii="Times New Roman" w:hAnsi="Times New Roman"/>
        </w:rPr>
        <w:t>za</w:t>
      </w:r>
      <w:r>
        <w:rPr>
          <w:rFonts w:ascii="Times New Roman" w:hAnsi="Times New Roman"/>
        </w:rPr>
        <w:t>stupan po predsjedniku Uprave Z. K.</w:t>
      </w:r>
      <w:r>
        <w:rPr>
          <w:rFonts w:ascii="Times New Roman" w:hAnsi="Times New Roman"/>
        </w:rPr>
        <w:t xml:space="preserve">, a ovaj po opunomoćenicima G. B. </w:t>
      </w:r>
      <w:r>
        <w:rPr>
          <w:rFonts w:ascii="Times New Roman" w:hAnsi="Times New Roman"/>
        </w:rPr>
        <w:t>i A.</w:t>
      </w:r>
      <w:r>
        <w:rPr>
          <w:rFonts w:ascii="Times New Roman" w:hAnsi="Times New Roman"/>
        </w:rPr>
        <w:t>-M. Ž.</w:t>
      </w:r>
      <w:r>
        <w:rPr>
          <w:rFonts w:ascii="Times New Roman" w:hAnsi="Times New Roman"/>
        </w:rPr>
        <w:t xml:space="preserve">, odvjetnicima iz </w:t>
      </w:r>
      <w:r>
        <w:rPr>
          <w:rFonts w:ascii="Times New Roman" w:hAnsi="Times New Roman"/>
        </w:rPr>
        <w:t xml:space="preserve">Odvjetničkog </w:t>
      </w:r>
      <w:r>
        <w:rPr>
          <w:rFonts w:ascii="Times New Roman" w:hAnsi="Times New Roman"/>
        </w:rPr>
        <w:t>društva B.</w:t>
      </w:r>
      <w:r>
        <w:rPr>
          <w:rFonts w:ascii="Times New Roman" w:hAnsi="Times New Roman"/>
        </w:rPr>
        <w:t>, Ž.</w:t>
      </w:r>
      <w:r>
        <w:rPr>
          <w:rFonts w:ascii="Times New Roman" w:hAnsi="Times New Roman"/>
        </w:rPr>
        <w:t xml:space="preserve"> i p.</w:t>
      </w:r>
      <w:r>
        <w:rPr>
          <w:rFonts w:ascii="Times New Roman" w:hAnsi="Times New Roman"/>
        </w:rPr>
        <w:t xml:space="preserve"> d.o.o., Z.</w:t>
      </w:r>
      <w:r>
        <w:rPr>
          <w:rFonts w:ascii="Times New Roman" w:hAnsi="Times New Roman"/>
        </w:rPr>
        <w:t xml:space="preserve">, </w:t>
      </w:r>
      <w:r>
        <w:rPr>
          <w:rFonts w:ascii="Times New Roman" w:hAnsi="Times New Roman"/>
        </w:rPr>
        <w:t>protiv tuženika Ministarstva gospodarstva, poduzetn</w:t>
      </w:r>
      <w:r>
        <w:rPr>
          <w:rFonts w:ascii="Times New Roman" w:hAnsi="Times New Roman"/>
        </w:rPr>
        <w:t>ištva i obrta Republike Hrvatske, Z.</w:t>
      </w:r>
      <w:r>
        <w:rPr>
          <w:rFonts w:ascii="Times New Roman" w:hAnsi="Times New Roman"/>
        </w:rPr>
        <w:t xml:space="preserve">, </w:t>
      </w:r>
      <w:r>
        <w:rPr>
          <w:rFonts w:ascii="Times New Roman" w:hAnsi="Times New Roman"/>
        </w:rPr>
        <w:t>radi dodjele bespovratnih sredstava, odlučujući o žalbi tužitelja izjavljenoj protiv rješenja Upravnog suda u Splitu, poslovni broj: 18 UsI-335/19-5 od 20. veljače 2020., na sjednici vijeća</w:t>
      </w:r>
      <w:r>
        <w:rPr>
          <w:rFonts w:ascii="Times New Roman" w:hAnsi="Times New Roman"/>
        </w:rPr>
        <w:t xml:space="preserve"> održanoj 15. srpnja 2020.</w:t>
      </w:r>
    </w:p>
    <w:p w:rsidR="00A62FB5" w:rsidRDefault="00A62FB5">
      <w:pPr>
        <w:jc w:val="both"/>
        <w:rPr>
          <w:rFonts w:ascii="Times New Roman" w:hAnsi="Times New Roman"/>
        </w:rPr>
      </w:pPr>
    </w:p>
    <w:p w:rsidR="00A62FB5" w:rsidRDefault="00A62FB5">
      <w:pPr>
        <w:jc w:val="center"/>
        <w:rPr>
          <w:rFonts w:ascii="Times New Roman" w:hAnsi="Times New Roman"/>
        </w:rPr>
      </w:pPr>
      <w:bookmarkStart w:id="2" w:name="Pre1"/>
      <w:bookmarkEnd w:id="2"/>
    </w:p>
    <w:p w:rsidR="00A62FB5" w:rsidRDefault="006D4876">
      <w:pPr>
        <w:jc w:val="center"/>
        <w:rPr>
          <w:rFonts w:ascii="Times New Roman" w:hAnsi="Times New Roman"/>
        </w:rPr>
      </w:pPr>
      <w:r>
        <w:rPr>
          <w:rFonts w:ascii="Times New Roman" w:hAnsi="Times New Roman"/>
        </w:rPr>
        <w:t>r i j e š i o   j e</w:t>
      </w:r>
    </w:p>
    <w:p w:rsidR="00A62FB5" w:rsidRDefault="00A62FB5">
      <w:pPr>
        <w:jc w:val="center"/>
        <w:rPr>
          <w:rFonts w:ascii="Times New Roman" w:hAnsi="Times New Roman"/>
        </w:rPr>
      </w:pPr>
    </w:p>
    <w:p w:rsidR="00A62FB5" w:rsidRDefault="00A62FB5">
      <w:pPr>
        <w:jc w:val="center"/>
        <w:rPr>
          <w:rFonts w:ascii="Times New Roman" w:hAnsi="Times New Roman"/>
        </w:rPr>
      </w:pPr>
    </w:p>
    <w:p w:rsidR="00A62FB5" w:rsidRDefault="006D4876">
      <w:pPr>
        <w:ind w:left="720" w:firstLine="720"/>
        <w:jc w:val="both"/>
        <w:rPr>
          <w:rFonts w:ascii="Times New Roman" w:hAnsi="Times New Roman"/>
        </w:rPr>
      </w:pPr>
      <w:r>
        <w:rPr>
          <w:rFonts w:ascii="Times New Roman" w:hAnsi="Times New Roman"/>
        </w:rPr>
        <w:t>Odbija se žalba tužitelja M.</w:t>
      </w:r>
      <w:r>
        <w:rPr>
          <w:rFonts w:ascii="Times New Roman" w:hAnsi="Times New Roman"/>
        </w:rPr>
        <w:t xml:space="preserve"> h.</w:t>
      </w:r>
      <w:r>
        <w:rPr>
          <w:rFonts w:ascii="Times New Roman" w:hAnsi="Times New Roman"/>
        </w:rPr>
        <w:t xml:space="preserve"> i l.</w:t>
      </w:r>
      <w:r>
        <w:rPr>
          <w:rFonts w:ascii="Times New Roman" w:hAnsi="Times New Roman"/>
        </w:rPr>
        <w:t xml:space="preserve"> d.d., P. </w:t>
      </w:r>
      <w:r>
        <w:rPr>
          <w:rFonts w:ascii="Times New Roman" w:hAnsi="Times New Roman"/>
        </w:rPr>
        <w:t>i potvrđuje se rješenje Upravnog suda u Splitu, poslovni broj: 18 UsI-335/19-5 od 20. veljače 2020.</w:t>
      </w:r>
    </w:p>
    <w:p w:rsidR="00A62FB5" w:rsidRDefault="00A62FB5">
      <w:pPr>
        <w:jc w:val="center"/>
        <w:rPr>
          <w:rFonts w:ascii="Times New Roman" w:hAnsi="Times New Roman"/>
        </w:rPr>
      </w:pPr>
    </w:p>
    <w:p w:rsidR="00A62FB5" w:rsidRDefault="00A62FB5">
      <w:pPr>
        <w:jc w:val="center"/>
        <w:rPr>
          <w:rFonts w:ascii="Times New Roman" w:hAnsi="Times New Roman"/>
        </w:rPr>
      </w:pPr>
    </w:p>
    <w:p w:rsidR="00A62FB5" w:rsidRDefault="006D4876">
      <w:pPr>
        <w:jc w:val="center"/>
        <w:rPr>
          <w:rFonts w:ascii="Times New Roman" w:hAnsi="Times New Roman"/>
        </w:rPr>
      </w:pPr>
      <w:r>
        <w:rPr>
          <w:rFonts w:ascii="Times New Roman" w:hAnsi="Times New Roman"/>
        </w:rPr>
        <w:t>Obrazloženje</w:t>
      </w:r>
    </w:p>
    <w:p w:rsidR="00A62FB5" w:rsidRDefault="00A62FB5">
      <w:pPr>
        <w:jc w:val="center"/>
        <w:rPr>
          <w:rFonts w:ascii="Times New Roman" w:hAnsi="Times New Roman"/>
        </w:rPr>
      </w:pPr>
    </w:p>
    <w:p w:rsidR="00A62FB5" w:rsidRDefault="00A62FB5">
      <w:pPr>
        <w:jc w:val="center"/>
        <w:rPr>
          <w:rFonts w:ascii="Times New Roman" w:hAnsi="Times New Roman"/>
        </w:rPr>
      </w:pPr>
    </w:p>
    <w:p w:rsidR="00A62FB5" w:rsidRDefault="006D4876">
      <w:pPr>
        <w:ind w:firstLine="720"/>
        <w:jc w:val="both"/>
        <w:rPr>
          <w:rFonts w:ascii="Times New Roman" w:hAnsi="Times New Roman"/>
        </w:rPr>
      </w:pPr>
      <w:r>
        <w:rPr>
          <w:rFonts w:ascii="Times New Roman" w:hAnsi="Times New Roman"/>
        </w:rPr>
        <w:t xml:space="preserve">Rješenjem Upravnog </w:t>
      </w:r>
      <w:r>
        <w:rPr>
          <w:rFonts w:ascii="Times New Roman" w:hAnsi="Times New Roman"/>
        </w:rPr>
        <w:t>suda u Splitu, poslovni broj: 18 UsI-335/19-5 od 20. veljače 2020. odbačena je tužba kojom je tužitelj osporavao Odluku o izmjeni Odluke o povratu br. 9 klasa: 910-04/17-01/747, urbroj: 526-08-01-03-02/2-19-10 od 10. srpnja 2019., kojom je tužitelju nalože</w:t>
      </w:r>
      <w:r>
        <w:rPr>
          <w:rFonts w:ascii="Times New Roman" w:hAnsi="Times New Roman"/>
        </w:rPr>
        <w:t xml:space="preserve">n povrat iznosa od 2.097.327,62 kn, s osnove isplaćenih sredstava po ugovoru o dodjeli bespovratnih sredstava za projekt „rekonstrukcija postojećeg hotela M. </w:t>
      </w:r>
      <w:r>
        <w:rPr>
          <w:rFonts w:ascii="Times New Roman" w:hAnsi="Times New Roman"/>
        </w:rPr>
        <w:t>i izgradnja dodatnih sadržaja“, referentne oznake: K.K. 03.2.04.0009, u roku od 60 dana od da</w:t>
      </w:r>
      <w:r>
        <w:rPr>
          <w:rFonts w:ascii="Times New Roman" w:hAnsi="Times New Roman"/>
        </w:rPr>
        <w:t>na zaprimanja u korist državnog proračuna.</w:t>
      </w:r>
    </w:p>
    <w:p w:rsidR="00A62FB5" w:rsidRDefault="006D4876">
      <w:pPr>
        <w:ind w:firstLine="720"/>
        <w:jc w:val="both"/>
        <w:rPr>
          <w:rFonts w:ascii="Times New Roman" w:hAnsi="Times New Roman"/>
        </w:rPr>
      </w:pPr>
      <w:r>
        <w:rPr>
          <w:rFonts w:ascii="Times New Roman" w:hAnsi="Times New Roman"/>
        </w:rPr>
        <w:t xml:space="preserve">Protiv navedenog rješenja tužitelj je podnio žalbu zbog bitne povrede pravila sudskog postupka, pogrešno i nepotpuno utvrđenog činjeničnog stanja i pogrešne primjene materijalnog prava. U žalbi u bitnom navodi da </w:t>
      </w:r>
      <w:r>
        <w:rPr>
          <w:rFonts w:ascii="Times New Roman" w:hAnsi="Times New Roman"/>
        </w:rPr>
        <w:t xml:space="preserve">se prvostupanjski sud u pogledu ocjene toga predstavlja li pobijana odluka upravni akt u smislu članka 3. stavka 1. Zakona o upravnim sporovima, u obrazloženju pobijanog rješenja promašeno poziva na Zakon o uspostavi </w:t>
      </w:r>
      <w:r>
        <w:rPr>
          <w:rFonts w:ascii="Times New Roman" w:hAnsi="Times New Roman"/>
        </w:rPr>
        <w:lastRenderedPageBreak/>
        <w:t>institucionalnog okvira za provedbu eur</w:t>
      </w:r>
      <w:r>
        <w:rPr>
          <w:rFonts w:ascii="Times New Roman" w:hAnsi="Times New Roman"/>
        </w:rPr>
        <w:t>opskih strukturnih investicijskih fondova u Republici Hrvatskoj u financijskom razdoblju od 2014. – 2020. i Uredbu (EU) br. 1303/2013 (a koji propisi doslovce niti u jednoj jedinoj svojoj odredbi niti na koji način ne propisuju što se smatra upravnim aktom</w:t>
      </w:r>
      <w:r>
        <w:rPr>
          <w:rFonts w:ascii="Times New Roman" w:hAnsi="Times New Roman"/>
        </w:rPr>
        <w:t xml:space="preserve"> koji sukladno članku 3. stavku 1. Zakona o upravnim sporovima može biti predmet upravnog spora), odnosno na vizual same odluke. Da pobijana odluka u konkretnom slučaju predstavlja upravni akt razvidno je već iz sadržaja same odluke te ostale dokumentacije</w:t>
      </w:r>
      <w:r>
        <w:rPr>
          <w:rFonts w:ascii="Times New Roman" w:hAnsi="Times New Roman"/>
        </w:rPr>
        <w:t xml:space="preserve"> koja prileži spisu koja se odnosi na konkretan pojedinačni upravni predmet i konkretnu pojedinačnu osobu koja se u Odluci navodi kao korisnik to jest tužitelj. Pobijana odluka donesena je od strane javnopravnog tijela što je razvidno iz činjenice da je is</w:t>
      </w:r>
      <w:r>
        <w:rPr>
          <w:rFonts w:ascii="Times New Roman" w:hAnsi="Times New Roman"/>
        </w:rPr>
        <w:t>ta donesena od strane tuženika, ovjerena pečatom tuženika te potpisana od strane ovlaštene osobe. Nadalje, ističe da je pobijanom odlukom nesporno odlučeno o obvezi tužitelja u okviru provedbe postupka dodjele bespovratnih sredstava, a protiv te Odluke nij</w:t>
      </w:r>
      <w:r>
        <w:rPr>
          <w:rFonts w:ascii="Times New Roman" w:hAnsi="Times New Roman"/>
        </w:rPr>
        <w:t>e dopušteno izjaviti redoviti pravni lijek jer ista odluka ne sadrži nikakvu uputu o pravnom lijeku. Smatra da je u konkretnom slučaju već iz sadržaja same Odluke i pratećih propisa vidljivo da pobijana Odluka predstavlja upravni akt. Ističe da tuženik, ka</w:t>
      </w:r>
      <w:r>
        <w:rPr>
          <w:rFonts w:ascii="Times New Roman" w:hAnsi="Times New Roman"/>
        </w:rPr>
        <w:t>o javnopravno tijelo koje je donijelo pobijanu odluku, uopće nije stranka ugovora o dodjeli bespovratnih sredstava da bi temeljem istog ugovora na bilo koji način (čak i kada bi se prihvatilo pogrešno tumačenje naslovljenog suda o nekakvoj dužnosti pokreta</w:t>
      </w:r>
      <w:r>
        <w:rPr>
          <w:rFonts w:ascii="Times New Roman" w:hAnsi="Times New Roman"/>
        </w:rPr>
        <w:t>nja postupka mirenja) postojala bilo kakva obveza tužitelja prema tuženiku u tom pogledu. Tužitelj predlaže da ovaj Sud pobijano rješenje ukine i predmet vrati prvostupanjskom sudu na ponovno odlučivanje.</w:t>
      </w:r>
    </w:p>
    <w:p w:rsidR="00A62FB5" w:rsidRDefault="006D4876">
      <w:pPr>
        <w:ind w:firstLine="720"/>
        <w:jc w:val="both"/>
        <w:rPr>
          <w:rFonts w:ascii="Times New Roman" w:hAnsi="Times New Roman"/>
        </w:rPr>
      </w:pPr>
      <w:r>
        <w:rPr>
          <w:rFonts w:ascii="Times New Roman" w:hAnsi="Times New Roman"/>
        </w:rPr>
        <w:t>Tuženik u odgovoru na tužbu u bitnom navodi da osno</w:t>
      </w:r>
      <w:r>
        <w:rPr>
          <w:rFonts w:ascii="Times New Roman" w:hAnsi="Times New Roman"/>
        </w:rPr>
        <w:t>vanost Odluke o povratu, protiv koje je tužitelj ustao sa predmetnom tužbom, ovisi o osnovanosti obavijesti o utvrđenoj nepravilnosti. Sukladno tome odlučivanje o postojanju nepravilnosti se ukazuje kao prethodno pitanje u odnosu na odlučivanje o zakonitos</w:t>
      </w:r>
      <w:r>
        <w:rPr>
          <w:rFonts w:ascii="Times New Roman" w:hAnsi="Times New Roman"/>
        </w:rPr>
        <w:t>ti Odluke o povratu te se time potvrđuje ispravnost odluke suda kako Odluka o povratu ne predstavlja upravni akt čija bi se zakonitost ispitivala povodom tužbe u upravnom sporu. Tužitelj, kao korisnik bespovratnih sredstava, u konkretnom slučaju, kao sreds</w:t>
      </w:r>
      <w:r>
        <w:rPr>
          <w:rFonts w:ascii="Times New Roman" w:hAnsi="Times New Roman"/>
        </w:rPr>
        <w:t>tvo pravne zaštite na raspolaganju ima pravo prigovora u kojem može iznijeti sve navode, činjenice i dokaze zbog kojih drži kako se utvrđenje PT2 temelji na pogrešno utvrđenom činjeničnom stanju, o kojem je upravljačko tijelo dužno odlučiti odgovarajućom p</w:t>
      </w:r>
      <w:r>
        <w:rPr>
          <w:rFonts w:ascii="Times New Roman" w:hAnsi="Times New Roman"/>
        </w:rPr>
        <w:t>rimjenom odredbe članka 122. Zakona o općem upravnom postupku („Narodne novine“ 47/09.) u formi rješenja, kojeg tužitelj može tužbom osporavati u upravnom sporu. Također, potvrđuje se mišljenje suda kako Odluka o povratu nije nikakav upravni akt kojim je o</w:t>
      </w:r>
      <w:r>
        <w:rPr>
          <w:rFonts w:ascii="Times New Roman" w:hAnsi="Times New Roman"/>
        </w:rPr>
        <w:t xml:space="preserve">dlučeno o pravu ili pravnom interesu tužitelja, već obrazac deklarativne naravi u kojem su navedeni podaci koji su već prethodno utvrđeni u postupku utvrđivanja nepravilnosti u kojem je tužitelju osigurana pravna zaštita kroz institut prigovora. Smatra da </w:t>
      </w:r>
      <w:r>
        <w:rPr>
          <w:rFonts w:ascii="Times New Roman" w:hAnsi="Times New Roman"/>
        </w:rPr>
        <w:t>se Odluka o povratu ne može smatrati upravnim aktom iz razloga što, kumulativno, ne zadovoljava sve pretpostavke propisane u članku 3. stavku 1. Zakona o upravnim sporovima što je razvidno iz činjenice da predmetnom odlukom nije odlučeno o nekom pravu, obv</w:t>
      </w:r>
      <w:r>
        <w:rPr>
          <w:rFonts w:ascii="Times New Roman" w:hAnsi="Times New Roman"/>
        </w:rPr>
        <w:t>ezi ili pravnom interesu stranke u upravnoj stvari nego je o pravu, obvezi i pravnom interesu tužitelja odlučeno u obavijesti o utvrđenoj nepravilnosti. Iz navoda odgovora na žalbu proizlazi da tuženik predlaže da sud žalbu odbije.</w:t>
      </w:r>
    </w:p>
    <w:p w:rsidR="00A62FB5" w:rsidRDefault="006D4876">
      <w:pPr>
        <w:ind w:firstLine="720"/>
        <w:jc w:val="both"/>
        <w:rPr>
          <w:rFonts w:ascii="Times New Roman" w:hAnsi="Times New Roman"/>
        </w:rPr>
      </w:pPr>
      <w:r>
        <w:rPr>
          <w:rFonts w:ascii="Times New Roman" w:hAnsi="Times New Roman"/>
        </w:rPr>
        <w:t xml:space="preserve">Žalba nije osnovana. </w:t>
      </w:r>
    </w:p>
    <w:p w:rsidR="00A62FB5" w:rsidRDefault="006D4876">
      <w:pPr>
        <w:ind w:firstLine="720"/>
        <w:jc w:val="both"/>
        <w:rPr>
          <w:rFonts w:ascii="Times New Roman" w:hAnsi="Times New Roman"/>
        </w:rPr>
      </w:pPr>
      <w:r>
        <w:rPr>
          <w:rFonts w:ascii="Times New Roman" w:hAnsi="Times New Roman"/>
        </w:rPr>
        <w:t>Is</w:t>
      </w:r>
      <w:r>
        <w:rPr>
          <w:rFonts w:ascii="Times New Roman" w:hAnsi="Times New Roman"/>
        </w:rPr>
        <w:t>pitujući prvostupanjsko rješenje u granicama određenim člankom 73. stavkom 1. Zakona o upravnim sporovima („Narodne novine", 20/10., 143/12., 152/14., 94/16. i 29/17.),  Sud je utvrdio da nisu osnovani razlozi zbog kojih tužitelj žalbom osporava prvostupan</w:t>
      </w:r>
      <w:r>
        <w:rPr>
          <w:rFonts w:ascii="Times New Roman" w:hAnsi="Times New Roman"/>
        </w:rPr>
        <w:t>jsko rješenje.</w:t>
      </w:r>
    </w:p>
    <w:p w:rsidR="00A62FB5" w:rsidRDefault="006D4876">
      <w:pPr>
        <w:ind w:firstLine="720"/>
        <w:jc w:val="both"/>
        <w:rPr>
          <w:rFonts w:ascii="Times New Roman" w:hAnsi="Times New Roman"/>
        </w:rPr>
      </w:pPr>
      <w:r>
        <w:rPr>
          <w:rFonts w:ascii="Times New Roman" w:hAnsi="Times New Roman"/>
        </w:rPr>
        <w:t>Prema podacima u spisu predmeta proizlazi da je tužitelj u predmetnom upravnom sporu tužbom osporavao Odluku o izmjeni Odluke o povratu broj: 9 od 10. srpnja 2019. u kojoj se navodi iznos povrata od 2.097.327,62 kn s osnove isplaćenih sredst</w:t>
      </w:r>
      <w:r>
        <w:rPr>
          <w:rFonts w:ascii="Times New Roman" w:hAnsi="Times New Roman"/>
        </w:rPr>
        <w:t>ava po ugovoru o dodjeli bespovratnih sredstava u roku od 60 dana od dana zaprimanja, a u korist računa državnog proračuna.</w:t>
      </w:r>
    </w:p>
    <w:p w:rsidR="00A62FB5" w:rsidRDefault="006D4876">
      <w:pPr>
        <w:ind w:firstLine="720"/>
        <w:jc w:val="both"/>
        <w:rPr>
          <w:rFonts w:ascii="Times New Roman" w:hAnsi="Times New Roman"/>
        </w:rPr>
      </w:pPr>
      <w:r>
        <w:rPr>
          <w:rFonts w:ascii="Times New Roman" w:hAnsi="Times New Roman"/>
        </w:rPr>
        <w:t>Prema ocjeni ovoga Suda pravilno je i zakonito postupio prvostupanjski sud kada je pobijanim rješenjem odbacio tužbu tužitelja proti</w:t>
      </w:r>
      <w:r>
        <w:rPr>
          <w:rFonts w:ascii="Times New Roman" w:hAnsi="Times New Roman"/>
        </w:rPr>
        <w:t>v navedene Odluke o izmjeni Odluke o povratu sredstava iz razloga jer se prema pravnom shvaćanju prvostupanjskog suda u konkretnom slučaju radi o stvari koja nije upravna stvar o kojoj se odlučuje u upravnom postupku, a niti je predmetna stvar zakonom odre</w:t>
      </w:r>
      <w:r>
        <w:rPr>
          <w:rFonts w:ascii="Times New Roman" w:hAnsi="Times New Roman"/>
        </w:rPr>
        <w:t>đena kao upravna stvar, pa niti navedena Odluka o povratu sredstava ne predstavlja upravni akt čija bi se zakonitost ispitivala povodom tužbe u predmetnom upravnom sporu. U tom smislu prvostupanjski sud pravilno upućuje na odredbu članka 3. stavka 1. točke</w:t>
      </w:r>
      <w:r>
        <w:rPr>
          <w:rFonts w:ascii="Times New Roman" w:hAnsi="Times New Roman"/>
        </w:rPr>
        <w:t xml:space="preserve"> 1. i članka 2. stavka 2. Zakona o upravnim sporovima.</w:t>
      </w:r>
    </w:p>
    <w:p w:rsidR="00A62FB5" w:rsidRDefault="006D4876">
      <w:pPr>
        <w:ind w:firstLine="720"/>
        <w:jc w:val="both"/>
        <w:rPr>
          <w:rFonts w:ascii="Times New Roman" w:hAnsi="Times New Roman"/>
        </w:rPr>
      </w:pPr>
      <w:r>
        <w:rPr>
          <w:rFonts w:ascii="Times New Roman" w:hAnsi="Times New Roman"/>
        </w:rPr>
        <w:t>Nadalje, treba istaknuti da prvostupanjski sud pravilno nalazi da odgovor na pitanje radi li se u konkretnom slučaju o Odluci koja predstavlja upravni akt čija bi se zakonitost mogla ispitivati u uprav</w:t>
      </w:r>
      <w:r>
        <w:rPr>
          <w:rFonts w:ascii="Times New Roman" w:hAnsi="Times New Roman"/>
        </w:rPr>
        <w:t>nom sporu treba potražiti u odredbama Zakona o uspostavi institucionalnog okvira za provedbu europskih strukturnih i investicijskih fondova u Republici Hrvatskoj u financijskom razdoblju od 2014. -2020. („Narodne novine“ 92/14.- u daljnjem tekstu: Zakon) k</w:t>
      </w:r>
      <w:r>
        <w:rPr>
          <w:rFonts w:ascii="Times New Roman" w:hAnsi="Times New Roman"/>
        </w:rPr>
        <w:t>ojim se uspostavlja institucionalni okvir za upravljanje i provedbu europskih strukturnih i investicijskih fondova te određuju funkcije i odgovornosti tijela koja čine sustav upravljanja i kontrole korištenja sredstava namijenjenih provedbi operativnih pro</w:t>
      </w:r>
      <w:r>
        <w:rPr>
          <w:rFonts w:ascii="Times New Roman" w:hAnsi="Times New Roman"/>
        </w:rPr>
        <w:t>grama. Prvostupanjski sud se u tom smislu u pobijanom rješenju poziva na relevantne odredbe Zakona, te izvodi pravilan zaključak da predmetna Odluka o povratu sredstava nije upravni akt čija bi se zakonitost ispitivala povodom tužbe u upravnom sporu, pa st</w:t>
      </w:r>
      <w:r>
        <w:rPr>
          <w:rFonts w:ascii="Times New Roman" w:hAnsi="Times New Roman"/>
        </w:rPr>
        <w:t>oga nisu bile ispunjene pretpostavke za vođenje spora zbog čega je prema ocjeni ovoga Suda prvostupanjski sud pravilno postupio kada je na temelju članka 30. stavka 1. točke 7. Zakona o upravnim sporovima tužbu tužitelja odbacio.</w:t>
      </w:r>
    </w:p>
    <w:p w:rsidR="00A62FB5" w:rsidRDefault="006D4876">
      <w:pPr>
        <w:ind w:firstLine="720"/>
        <w:jc w:val="both"/>
        <w:rPr>
          <w:rFonts w:ascii="Times New Roman" w:hAnsi="Times New Roman"/>
        </w:rPr>
      </w:pPr>
      <w:r>
        <w:rPr>
          <w:rFonts w:ascii="Times New Roman" w:hAnsi="Times New Roman"/>
        </w:rPr>
        <w:t>S obzirom da tužitelj razl</w:t>
      </w:r>
      <w:r>
        <w:rPr>
          <w:rFonts w:ascii="Times New Roman" w:hAnsi="Times New Roman"/>
        </w:rPr>
        <w:t>ozima navedenima u žalbi nije doveo u sumnju zakonitost pobijanog rješenja koje je doneseno na temelju pravilno utvrđenih činjenica, te uz pravilnu primjenu materijalnog prava, dok povrede pravila postupka ovaj Sud nije našao, trebalo je na temelju odredbe</w:t>
      </w:r>
      <w:r>
        <w:rPr>
          <w:rFonts w:ascii="Times New Roman" w:hAnsi="Times New Roman"/>
        </w:rPr>
        <w:t xml:space="preserve"> članka 74. stavka 1. u vezi s člankom 67. stavkom 3. Zakona o upravnim sporovima, odlučiti kao u izreci rješenja.</w:t>
      </w:r>
    </w:p>
    <w:p w:rsidR="00A62FB5" w:rsidRDefault="00A62FB5">
      <w:pPr>
        <w:jc w:val="center"/>
        <w:rPr>
          <w:rFonts w:ascii="Times New Roman" w:hAnsi="Times New Roman"/>
        </w:rPr>
      </w:pPr>
    </w:p>
    <w:p w:rsidR="00A62FB5" w:rsidRDefault="006D4876">
      <w:pPr>
        <w:jc w:val="center"/>
        <w:rPr>
          <w:rFonts w:ascii="Times New Roman" w:hAnsi="Times New Roman"/>
        </w:rPr>
      </w:pPr>
      <w:r>
        <w:rPr>
          <w:rFonts w:ascii="Times New Roman" w:hAnsi="Times New Roman"/>
        </w:rPr>
        <w:t>U Zagrebu, 15. srpnja 2020.</w:t>
      </w:r>
    </w:p>
    <w:p w:rsidR="00A62FB5" w:rsidRDefault="00A62FB5">
      <w:pPr>
        <w:jc w:val="center"/>
        <w:rPr>
          <w:rFonts w:ascii="Times New Roman" w:hAnsi="Times New Roman"/>
        </w:rPr>
      </w:pPr>
    </w:p>
    <w:p w:rsidR="00A62FB5" w:rsidRDefault="006D4876">
      <w:pPr>
        <w:jc w:val="right"/>
        <w:rPr>
          <w:rFonts w:ascii="Times New Roman" w:hAnsi="Times New Roman"/>
        </w:rPr>
      </w:pPr>
      <w:r>
        <w:rPr>
          <w:rFonts w:ascii="Times New Roman" w:hAnsi="Times New Roman"/>
        </w:rPr>
        <w:t>Predsjednica vijeća:</w:t>
      </w:r>
    </w:p>
    <w:p w:rsidR="00A62FB5" w:rsidRDefault="006D4876">
      <w:pPr>
        <w:tabs>
          <w:tab w:val="right" w:pos="8902"/>
        </w:tabs>
        <w:jc w:val="right"/>
        <w:rPr>
          <w:rFonts w:ascii="Times New Roman" w:hAnsi="Times New Roman"/>
        </w:rPr>
      </w:pPr>
      <w:r>
        <w:rPr>
          <w:rFonts w:ascii="Times New Roman" w:hAnsi="Times New Roman"/>
        </w:rPr>
        <w:t>mr. sc. Mirjana Juričić, v.r.</w:t>
      </w:r>
    </w:p>
    <w:p w:rsidR="00A62FB5" w:rsidRDefault="00A62FB5">
      <w:pPr>
        <w:tabs>
          <w:tab w:val="right" w:pos="8902"/>
        </w:tabs>
        <w:jc w:val="right"/>
        <w:rPr>
          <w:rFonts w:ascii="Times New Roman" w:hAnsi="Times New Roman"/>
        </w:rPr>
      </w:pPr>
      <w:bookmarkStart w:id="3" w:name="_GoBack"/>
      <w:bookmarkEnd w:id="3"/>
    </w:p>
    <w:sectPr w:rsidR="00A62FB5">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876">
      <w:r>
        <w:separator/>
      </w:r>
    </w:p>
  </w:endnote>
  <w:endnote w:type="continuationSeparator" w:id="0">
    <w:p w:rsidR="00000000" w:rsidRDefault="006D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876">
      <w:r>
        <w:separator/>
      </w:r>
    </w:p>
  </w:footnote>
  <w:footnote w:type="continuationSeparator" w:id="0">
    <w:p w:rsidR="00000000" w:rsidRDefault="006D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B5" w:rsidRDefault="006D4876">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Usž-2799/20-2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multilevel"/>
    <w:tmpl w:val="538A70AA"/>
    <w:lvl w:ilvl="0">
      <w:start w:val="1"/>
      <w:numFmt w:val="bullet"/>
      <w:pStyle w:val="Grafikeoznake"/>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6DC5220"/>
    <w:multiLevelType w:val="multilevel"/>
    <w:tmpl w:val="B6F8E57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4DE3EF9"/>
    <w:multiLevelType w:val="multilevel"/>
    <w:tmpl w:val="84EAA806"/>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1045526"/>
    <w:multiLevelType w:val="multilevel"/>
    <w:tmpl w:val="781C56A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1AD1B38"/>
    <w:multiLevelType w:val="multilevel"/>
    <w:tmpl w:val="C99E2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72B2F"/>
    <w:multiLevelType w:val="multilevel"/>
    <w:tmpl w:val="E2BE146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FE94639"/>
    <w:multiLevelType w:val="multilevel"/>
    <w:tmpl w:val="04A2257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2825B00"/>
    <w:multiLevelType w:val="multilevel"/>
    <w:tmpl w:val="98709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76D03"/>
    <w:multiLevelType w:val="multilevel"/>
    <w:tmpl w:val="BF022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C05D4"/>
    <w:multiLevelType w:val="multilevel"/>
    <w:tmpl w:val="EBFEF62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087317"/>
    <w:multiLevelType w:val="multilevel"/>
    <w:tmpl w:val="8AA8B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0E616A"/>
    <w:multiLevelType w:val="multilevel"/>
    <w:tmpl w:val="F3220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C36973"/>
    <w:multiLevelType w:val="multilevel"/>
    <w:tmpl w:val="05B43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373C0D"/>
    <w:multiLevelType w:val="multilevel"/>
    <w:tmpl w:val="EA26505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0126B7F"/>
    <w:multiLevelType w:val="multilevel"/>
    <w:tmpl w:val="0CAC90D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6A186221"/>
    <w:multiLevelType w:val="multilevel"/>
    <w:tmpl w:val="912E1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E41B6A"/>
    <w:multiLevelType w:val="multilevel"/>
    <w:tmpl w:val="E188C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16"/>
  </w:num>
  <w:num w:numId="6">
    <w:abstractNumId w:val="12"/>
  </w:num>
  <w:num w:numId="7">
    <w:abstractNumId w:val="11"/>
  </w:num>
  <w:num w:numId="8">
    <w:abstractNumId w:val="7"/>
  </w:num>
  <w:num w:numId="9">
    <w:abstractNumId w:val="15"/>
  </w:num>
  <w:num w:numId="10">
    <w:abstractNumId w:val="9"/>
  </w:num>
  <w:num w:numId="11">
    <w:abstractNumId w:val="14"/>
  </w:num>
  <w:num w:numId="12">
    <w:abstractNumId w:val="2"/>
  </w:num>
  <w:num w:numId="13">
    <w:abstractNumId w:val="13"/>
  </w:num>
  <w:num w:numId="14">
    <w:abstractNumId w:val="5"/>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FB5"/>
    <w:rsid w:val="006D4876"/>
    <w:rsid w:val="00A62F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844A"/>
  <w15:docId w15:val="{F4021E4D-446A-4B27-A94A-ECB0717D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Grafikeoznake">
    <w:name w:val="List Bullet"/>
    <w:basedOn w:val="Normal"/>
    <w:pPr>
      <w:numPr>
        <w:numId w:val="17"/>
      </w:numPr>
      <w:contextualSpacing/>
    </w:p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7357</Characters>
  <Application>Microsoft Office Word</Application>
  <DocSecurity>0</DocSecurity>
  <Lines>61</Lines>
  <Paragraphs>17</Paragraphs>
  <ScaleCrop>false</ScaleCrop>
  <Company>Ministarstvo Pravosuda Republike Hrvatske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2019-10-30T10:24:00Z</cp:lastPrinted>
  <dcterms:created xsi:type="dcterms:W3CDTF">2021-09-14T09:06:00Z</dcterms:created>
  <dcterms:modified xsi:type="dcterms:W3CDTF">2021-09-14T09:06:00Z</dcterms:modified>
</cp:coreProperties>
</file>