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B7A" w:rsidRDefault="00FA075A">
      <w:pPr>
        <w:rPr>
          <w:rFonts w:ascii="Times New Roman" w:hAnsi="Times New Roman"/>
        </w:rPr>
      </w:pPr>
      <w:bookmarkStart w:id="0" w:name="_GoBack"/>
      <w:bookmarkEnd w:id="0"/>
      <w:r>
        <w:rPr>
          <w:rFonts w:ascii="Times New Roman" w:hAnsi="Times New Roman"/>
        </w:rPr>
        <w:tab/>
      </w:r>
    </w:p>
    <w:p w:rsidR="00144B7A" w:rsidRDefault="00FA075A">
      <w:pPr>
        <w:ind w:left="2880"/>
        <w:jc w:val="right"/>
        <w:rPr>
          <w:rFonts w:ascii="Times New Roman" w:hAnsi="Times New Roman"/>
        </w:rPr>
      </w:pPr>
      <w:r>
        <w:rPr>
          <w:rFonts w:ascii="Times New Roman" w:hAnsi="Times New Roman"/>
          <w:noProof/>
        </w:rPr>
        <mc:AlternateContent>
          <mc:Choice Requires="wps">
            <w:drawing>
              <wp:anchor distT="0" distB="0" distL="114300" distR="114300" simplePos="0" relativeHeight="251658240" behindDoc="0" locked="0" layoutInCell="1" allowOverlap="0">
                <wp:simplePos x="0" y="0"/>
                <wp:positionH relativeFrom="column">
                  <wp:posOffset>50165</wp:posOffset>
                </wp:positionH>
                <wp:positionV relativeFrom="paragraph">
                  <wp:posOffset>-3810</wp:posOffset>
                </wp:positionV>
                <wp:extent cx="3124200" cy="762000"/>
                <wp:effectExtent l="0" t="0" r="0" b="0"/>
                <wp:wrapNone/>
                <wp:docPr id="1" name="Text Box 1"/>
                <wp:cNvGraphicFramePr/>
                <a:graphic xmlns:a="http://schemas.openxmlformats.org/drawingml/2006/main">
                  <a:graphicData uri="http://schemas.microsoft.com/office/word/2010/wordprocessingShape">
                    <wps:wsp>
                      <wps:cNvSpPr/>
                      <wps:spPr>
                        <a:xfrm>
                          <a:off x="0" y="0"/>
                          <a:ext cx="3124200" cy="762000"/>
                        </a:xfrm>
                        <a:prstGeom prst="rect">
                          <a:avLst/>
                        </a:prstGeom>
                      </wps:spPr>
                      <wps:txbx>
                        <w:txbxContent>
                          <w:p w:rsidR="00144B7A" w:rsidRDefault="00FA075A">
                            <w:pPr>
                              <w:jc w:val="center"/>
                              <w:rPr>
                                <w:rFonts w:ascii="Times New Roman" w:hAnsi="Times New Roman"/>
                                <w:b/>
                                <w:sz w:val="20"/>
                              </w:rPr>
                            </w:pPr>
                            <w:r>
                              <w:rPr>
                                <w:rFonts w:ascii="Times New Roman" w:hAnsi="Times New Roman"/>
                                <w:b/>
                                <w:sz w:val="20"/>
                              </w:rPr>
                              <w:t>REPUBLIKA HRVATSKA</w:t>
                            </w:r>
                          </w:p>
                          <w:p w:rsidR="00144B7A" w:rsidRDefault="00FA075A">
                            <w:pPr>
                              <w:jc w:val="center"/>
                              <w:rPr>
                                <w:rFonts w:ascii="Times New Roman" w:hAnsi="Times New Roman"/>
                                <w:b/>
                                <w:sz w:val="20"/>
                              </w:rPr>
                            </w:pPr>
                            <w:r>
                              <w:rPr>
                                <w:rFonts w:ascii="Times New Roman" w:hAnsi="Times New Roman"/>
                                <w:b/>
                                <w:sz w:val="20"/>
                              </w:rPr>
                              <w:t>VISOKI UPRAVNI SUD REPUBLIKE HRVATSKE</w:t>
                            </w:r>
                          </w:p>
                          <w:p w:rsidR="00144B7A" w:rsidRDefault="00FA075A">
                            <w:pPr>
                              <w:jc w:val="center"/>
                              <w:rPr>
                                <w:rFonts w:ascii="Times New Roman" w:hAnsi="Times New Roman"/>
                                <w:b/>
                                <w:sz w:val="20"/>
                              </w:rPr>
                            </w:pPr>
                            <w:r>
                              <w:rPr>
                                <w:rFonts w:ascii="Times New Roman" w:hAnsi="Times New Roman"/>
                                <w:b/>
                                <w:sz w:val="20"/>
                              </w:rPr>
                              <w:t>Z A G R E B</w:t>
                            </w:r>
                          </w:p>
                          <w:p w:rsidR="00144B7A" w:rsidRDefault="00FA075A">
                            <w:pPr>
                              <w:jc w:val="center"/>
                              <w:rPr>
                                <w:rFonts w:ascii="Times New Roman" w:hAnsi="Times New Roman"/>
                                <w:b/>
                                <w:sz w:val="20"/>
                              </w:rPr>
                            </w:pPr>
                            <w:r>
                              <w:rPr>
                                <w:rFonts w:ascii="Times New Roman" w:hAnsi="Times New Roman"/>
                                <w:b/>
                                <w:sz w:val="20"/>
                              </w:rPr>
                              <w:t>Frankopanska 16</w:t>
                            </w:r>
                          </w:p>
                        </w:txbxContent>
                      </wps:txbx>
                      <wps:bodyPr/>
                    </wps:wsp>
                  </a:graphicData>
                </a:graphic>
              </wp:anchor>
            </w:drawing>
          </mc:Choice>
          <mc:Fallback>
            <w:pict>
              <v:rect id="Text Box 1" o:spid="_x0000_s1026" style="position:absolute;left:0;text-align:left;margin-left:3.95pt;margin-top:-.3pt;width:246pt;height:60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" o:allowoverlap="f" filled="f" stroked="f">
                <v:textbox>
                  <w:txbxContent>
                    <w:p w:rsidR="00144B7A" w:rsidRDefault="00FA075A">
                      <w:pPr>
                        <w:jc w:val="center"/>
                        <w:rPr>
                          <w:rFonts w:ascii="Times New Roman" w:hAnsi="Times New Roman"/>
                          <w:b/>
                          <w:sz w:val="20"/>
                        </w:rPr>
                      </w:pPr>
                      <w:r>
                        <w:rPr>
                          <w:rFonts w:ascii="Times New Roman" w:hAnsi="Times New Roman"/>
                          <w:b/>
                          <w:sz w:val="20"/>
                        </w:rPr>
                        <w:t>REPUBLIKA HRVATSKA</w:t>
                      </w:r>
                    </w:p>
                    <w:p w:rsidR="00144B7A" w:rsidRDefault="00FA075A">
                      <w:pPr>
                        <w:jc w:val="center"/>
                        <w:rPr>
                          <w:rFonts w:ascii="Times New Roman" w:hAnsi="Times New Roman"/>
                          <w:b/>
                          <w:sz w:val="20"/>
                        </w:rPr>
                      </w:pPr>
                      <w:r>
                        <w:rPr>
                          <w:rFonts w:ascii="Times New Roman" w:hAnsi="Times New Roman"/>
                          <w:b/>
                          <w:sz w:val="20"/>
                        </w:rPr>
                        <w:t>VISOKI UPRAVNI SUD REPUBLIKE HRVATSKE</w:t>
                      </w:r>
                    </w:p>
                    <w:p w:rsidR="00144B7A" w:rsidRDefault="00FA075A">
                      <w:pPr>
                        <w:jc w:val="center"/>
                        <w:rPr>
                          <w:rFonts w:ascii="Times New Roman" w:hAnsi="Times New Roman"/>
                          <w:b/>
                          <w:sz w:val="20"/>
                        </w:rPr>
                      </w:pPr>
                      <w:r>
                        <w:rPr>
                          <w:rFonts w:ascii="Times New Roman" w:hAnsi="Times New Roman"/>
                          <w:b/>
                          <w:sz w:val="20"/>
                        </w:rPr>
                        <w:t>Z A G R E B</w:t>
                      </w:r>
                    </w:p>
                    <w:p w:rsidR="00144B7A" w:rsidRDefault="00FA075A">
                      <w:pPr>
                        <w:jc w:val="center"/>
                        <w:rPr>
                          <w:rFonts w:ascii="Times New Roman" w:hAnsi="Times New Roman"/>
                          <w:b/>
                          <w:sz w:val="20"/>
                        </w:rPr>
                      </w:pPr>
                      <w:r>
                        <w:rPr>
                          <w:rFonts w:ascii="Times New Roman" w:hAnsi="Times New Roman"/>
                          <w:b/>
                          <w:sz w:val="20"/>
                        </w:rPr>
                        <w:t>Frankopanska 16</w:t>
                      </w:r>
                    </w:p>
                  </w:txbxContent>
                </v:textbox>
              </v:rect>
            </w:pict>
          </mc:Fallback>
        </mc:AlternateContent>
      </w:r>
      <w:r>
        <w:rPr>
          <w:rFonts w:ascii="Times New Roman" w:hAnsi="Times New Roman"/>
        </w:rPr>
        <w:t xml:space="preserve">Poslovni broj: </w:t>
      </w:r>
      <w:bookmarkStart w:id="1" w:name="Broj"/>
      <w:bookmarkEnd w:id="1"/>
      <w:r>
        <w:rPr>
          <w:rFonts w:ascii="Times New Roman" w:hAnsi="Times New Roman"/>
        </w:rPr>
        <w:t>Usž-359/21-2</w:t>
      </w:r>
    </w:p>
    <w:p w:rsidR="00144B7A" w:rsidRDefault="00144B7A">
      <w:pPr>
        <w:ind w:left="2880"/>
        <w:jc w:val="right"/>
        <w:rPr>
          <w:rFonts w:ascii="Times New Roman" w:hAnsi="Times New Roman"/>
        </w:rPr>
      </w:pPr>
    </w:p>
    <w:p w:rsidR="00144B7A" w:rsidRDefault="00144B7A">
      <w:pPr>
        <w:rPr>
          <w:rFonts w:ascii="Times New Roman" w:hAnsi="Times New Roman"/>
        </w:rPr>
      </w:pPr>
    </w:p>
    <w:p w:rsidR="00144B7A" w:rsidRDefault="00144B7A">
      <w:pPr>
        <w:rPr>
          <w:rFonts w:ascii="Times New Roman" w:hAnsi="Times New Roman"/>
        </w:rPr>
      </w:pPr>
    </w:p>
    <w:p w:rsidR="00144B7A" w:rsidRDefault="00144B7A">
      <w:pPr>
        <w:rPr>
          <w:rFonts w:ascii="Times New Roman" w:hAnsi="Times New Roman"/>
        </w:rPr>
      </w:pPr>
    </w:p>
    <w:p w:rsidR="00144B7A" w:rsidRDefault="00FA075A">
      <w:pPr>
        <w:jc w:val="center"/>
        <w:rPr>
          <w:rFonts w:ascii="Times New Roman" w:hAnsi="Times New Roman"/>
        </w:rPr>
      </w:pPr>
      <w:r>
        <w:rPr>
          <w:rFonts w:ascii="Times New Roman" w:hAnsi="Times New Roman"/>
        </w:rPr>
        <w:t>U  I M E   R E P U B L I K E   H R V A T S K E</w:t>
      </w:r>
    </w:p>
    <w:p w:rsidR="00144B7A" w:rsidRDefault="00144B7A">
      <w:pPr>
        <w:jc w:val="center"/>
        <w:rPr>
          <w:rFonts w:ascii="Times New Roman" w:hAnsi="Times New Roman"/>
        </w:rPr>
      </w:pPr>
    </w:p>
    <w:p w:rsidR="00144B7A" w:rsidRDefault="00FA075A">
      <w:pPr>
        <w:jc w:val="center"/>
        <w:rPr>
          <w:rFonts w:ascii="Times New Roman" w:hAnsi="Times New Roman"/>
        </w:rPr>
      </w:pPr>
      <w:bookmarkStart w:id="2" w:name="Vrsta"/>
      <w:bookmarkEnd w:id="2"/>
      <w:r>
        <w:rPr>
          <w:rFonts w:ascii="Times New Roman" w:hAnsi="Times New Roman"/>
        </w:rPr>
        <w:t>P R E S U D A</w:t>
      </w:r>
    </w:p>
    <w:p w:rsidR="00144B7A" w:rsidRDefault="00144B7A">
      <w:pPr>
        <w:rPr>
          <w:rFonts w:ascii="Times New Roman" w:hAnsi="Times New Roman"/>
        </w:rPr>
      </w:pPr>
    </w:p>
    <w:p w:rsidR="00144B7A" w:rsidRDefault="00FA075A">
      <w:pPr>
        <w:ind w:firstLine="720"/>
        <w:jc w:val="both"/>
        <w:rPr>
          <w:rFonts w:ascii="Times New Roman" w:hAnsi="Times New Roman"/>
        </w:rPr>
      </w:pPr>
      <w:bookmarkStart w:id="3" w:name="Datum1"/>
      <w:bookmarkEnd w:id="3"/>
      <w:r>
        <w:rPr>
          <w:rFonts w:ascii="Times New Roman" w:hAnsi="Times New Roman"/>
        </w:rPr>
        <w:t xml:space="preserve">Visoki upravni sud Republike Hrvatske u vijeću sastavljenom od sutkinja toga Suda Lidije Rostaš, </w:t>
      </w:r>
      <w:bookmarkStart w:id="4" w:name="MZ"/>
      <w:bookmarkEnd w:id="4"/>
      <w:r>
        <w:rPr>
          <w:rFonts w:ascii="Times New Roman" w:hAnsi="Times New Roman"/>
        </w:rPr>
        <w:t xml:space="preserve">predsjednice vijeća, Ljiljane Karlovčan-Đurović i Sanja Štefan, članica vijeća te višeg sudskog savjetnika specijaliste Srđana Papića, zapisničara, u upravnom sporu tužiteljice N. G.-K. iz Z., protiv tuženika Ministarstva financija Republike Hrvatske, Samostalnog sektora za drugostupanjski upravni postupak, Z,, radi naplate posebnog poreza na motorna vozila, odlučujući o žalbi tužiteljice protiv presude Upravnog suda u Zagrebu, poslovni broj: UsI-4301/19-8 od 23. studenog 2020., na sjednici vijeća održanoj 3. veljače 2021. </w:t>
      </w:r>
    </w:p>
    <w:p w:rsidR="00144B7A" w:rsidRDefault="00144B7A">
      <w:pPr>
        <w:jc w:val="center"/>
        <w:rPr>
          <w:rFonts w:ascii="Times New Roman" w:hAnsi="Times New Roman"/>
        </w:rPr>
      </w:pPr>
      <w:bookmarkStart w:id="5" w:name="Pre1"/>
      <w:bookmarkEnd w:id="5"/>
    </w:p>
    <w:p w:rsidR="00144B7A" w:rsidRDefault="00FA075A">
      <w:pPr>
        <w:jc w:val="center"/>
        <w:rPr>
          <w:rFonts w:ascii="Times New Roman" w:hAnsi="Times New Roman"/>
        </w:rPr>
      </w:pPr>
      <w:r>
        <w:rPr>
          <w:rFonts w:ascii="Times New Roman" w:hAnsi="Times New Roman"/>
        </w:rPr>
        <w:t>p r e s u d i o  j e</w:t>
      </w:r>
    </w:p>
    <w:p w:rsidR="00144B7A" w:rsidRDefault="00144B7A">
      <w:pPr>
        <w:jc w:val="both"/>
        <w:rPr>
          <w:rFonts w:ascii="Times New Roman" w:hAnsi="Times New Roman"/>
        </w:rPr>
      </w:pPr>
    </w:p>
    <w:p w:rsidR="00144B7A" w:rsidRDefault="00FA075A">
      <w:pPr>
        <w:jc w:val="both"/>
        <w:rPr>
          <w:rFonts w:ascii="Times New Roman" w:hAnsi="Times New Roman"/>
        </w:rPr>
      </w:pPr>
      <w:r>
        <w:rPr>
          <w:rFonts w:ascii="Times New Roman" w:hAnsi="Times New Roman"/>
        </w:rPr>
        <w:tab/>
      </w:r>
      <w:r>
        <w:rPr>
          <w:rFonts w:ascii="Times New Roman" w:hAnsi="Times New Roman"/>
        </w:rPr>
        <w:tab/>
        <w:t xml:space="preserve">Odbija se žalba tužiteljice i potvrđuje presuda Upravnog suda u Zagrebu, poslovni broj: UsI-4301/19-8 od 23. studenog 2020. </w:t>
      </w:r>
    </w:p>
    <w:p w:rsidR="00144B7A" w:rsidRDefault="00FA075A">
      <w:pPr>
        <w:jc w:val="both"/>
        <w:rPr>
          <w:rFonts w:ascii="Times New Roman" w:hAnsi="Times New Roman"/>
        </w:rPr>
      </w:pPr>
      <w:r>
        <w:rPr>
          <w:rFonts w:ascii="Times New Roman" w:hAnsi="Times New Roman"/>
        </w:rPr>
        <w:tab/>
      </w:r>
    </w:p>
    <w:p w:rsidR="00144B7A" w:rsidRDefault="00FA075A">
      <w:pPr>
        <w:jc w:val="center"/>
        <w:rPr>
          <w:rFonts w:ascii="Times New Roman" w:hAnsi="Times New Roman"/>
        </w:rPr>
      </w:pPr>
      <w:r>
        <w:rPr>
          <w:rFonts w:ascii="Times New Roman" w:hAnsi="Times New Roman"/>
        </w:rPr>
        <w:t>Obrazloženje</w:t>
      </w:r>
    </w:p>
    <w:p w:rsidR="00144B7A" w:rsidRDefault="00144B7A">
      <w:pPr>
        <w:jc w:val="center"/>
        <w:rPr>
          <w:rFonts w:ascii="Times New Roman" w:hAnsi="Times New Roman"/>
        </w:rPr>
      </w:pPr>
    </w:p>
    <w:p w:rsidR="00144B7A" w:rsidRDefault="00FA075A">
      <w:pPr>
        <w:jc w:val="both"/>
        <w:rPr>
          <w:rFonts w:ascii="Times New Roman" w:hAnsi="Times New Roman"/>
        </w:rPr>
      </w:pPr>
      <w:r>
        <w:rPr>
          <w:rFonts w:ascii="Times New Roman" w:hAnsi="Times New Roman"/>
        </w:rPr>
        <w:tab/>
        <w:t xml:space="preserve">Prvostupanjskom presudom odbijen je tužbeni zahtjev za poništenje rješenja tuženika.  </w:t>
      </w:r>
    </w:p>
    <w:p w:rsidR="00144B7A" w:rsidRDefault="00FA075A">
      <w:pPr>
        <w:jc w:val="both"/>
        <w:rPr>
          <w:rFonts w:ascii="Times New Roman" w:hAnsi="Times New Roman"/>
        </w:rPr>
      </w:pPr>
      <w:r>
        <w:rPr>
          <w:rFonts w:ascii="Times New Roman" w:hAnsi="Times New Roman"/>
        </w:rPr>
        <w:tab/>
        <w:t xml:space="preserve">Protiv navedene presude tužiteljica je podnijela žalbu u kojoj ponavlja tužbene navode. Ističe kako tuženik, odnosno porezna uprava, te sud nisu cijenili njezinu specifičnu invalidnost, odnosno okolnost da joj prilagodba vozila nije potrebna, a što je jasno naznačeno u njenoj vozačkoj dozvoli. Navodi da je osoba sa stopostotnim invaliditetom i ima sva prava koja iz toga proizlaze. Ističe da carinski službenik nije kompetentan za zdravstveni invaliditet, već je samo pogledao vozilo, te je utvrdio tehničku ispravnost. Smatra da ju je trebalo osloboditi od poreza na promet motornih vozila, budući da ima status povratnice, iako nikakva prava u tom smislu nikada nije koristila. Navodi da je visina poreza u apsolutnoj disproporciji s vrijednošću vozila, te da se ne poštuju utvrđene međunarodne norma i uvjeti Konvencije o privremenom uvozu. </w:t>
      </w:r>
    </w:p>
    <w:p w:rsidR="00144B7A" w:rsidRDefault="00FA075A">
      <w:pPr>
        <w:ind w:firstLine="720"/>
        <w:jc w:val="both"/>
        <w:rPr>
          <w:rFonts w:ascii="Times New Roman" w:hAnsi="Times New Roman"/>
        </w:rPr>
      </w:pPr>
      <w:r>
        <w:rPr>
          <w:rFonts w:ascii="Times New Roman" w:hAnsi="Times New Roman"/>
        </w:rPr>
        <w:t xml:space="preserve">Tuženik, iako uredno pozvan, nije se očitovao odgovorom na žalbu (članak 71. stavak 3. Zakona o upravnim sporovima („Narodne novine", 20/10., 143/12., 152/14., 94/16. i 29/17. – dalje: ZUS)). </w:t>
      </w:r>
    </w:p>
    <w:p w:rsidR="00144B7A" w:rsidRDefault="00FA075A">
      <w:pPr>
        <w:jc w:val="both"/>
        <w:rPr>
          <w:rFonts w:ascii="Times New Roman" w:hAnsi="Times New Roman"/>
        </w:rPr>
      </w:pPr>
      <w:r>
        <w:rPr>
          <w:rFonts w:ascii="Times New Roman" w:hAnsi="Times New Roman"/>
        </w:rPr>
        <w:tab/>
        <w:t xml:space="preserve">Žalba nije osnovana. </w:t>
      </w:r>
    </w:p>
    <w:p w:rsidR="00144B7A" w:rsidRDefault="00FA075A">
      <w:pPr>
        <w:jc w:val="both"/>
        <w:rPr>
          <w:rFonts w:ascii="Times New Roman" w:hAnsi="Times New Roman"/>
        </w:rPr>
      </w:pPr>
      <w:r>
        <w:rPr>
          <w:rFonts w:ascii="Times New Roman" w:hAnsi="Times New Roman"/>
        </w:rPr>
        <w:tab/>
        <w:t xml:space="preserve">Kako je u konkretnom slučaju sporna primjena materijalnog prava, a činjenice nisu sporne, te stranke nisu izričito zahtijevale održavanje rasprave, sud je temeljem članak 36. točke 4. ZUS-a riješio bez održavanja rasprave. </w:t>
      </w:r>
    </w:p>
    <w:p w:rsidR="00144B7A" w:rsidRDefault="00FA075A">
      <w:pPr>
        <w:ind w:firstLine="720"/>
        <w:jc w:val="both"/>
        <w:rPr>
          <w:rFonts w:ascii="Times New Roman" w:hAnsi="Times New Roman"/>
        </w:rPr>
      </w:pPr>
      <w:r>
        <w:rPr>
          <w:rFonts w:ascii="Times New Roman" w:hAnsi="Times New Roman"/>
        </w:rPr>
        <w:t xml:space="preserve">U postupku nije sporno postojanje invalidnosti kod tužiteljice. Međutim, rješenje kojim se odbacuje zahtjev tužiteljice za izdavanje rješenja o izuzeću od plaćanja posebnog poreza na motorna vozila, utemeljeno je na činjenici kako vozilo za kojeg se izuzimanje traži ne ispunjava uvjete iz članka 3. stavka 2. Pravilnika o posebnom porezu na motorna vozila u </w:t>
      </w:r>
      <w:r>
        <w:rPr>
          <w:rFonts w:ascii="Times New Roman" w:hAnsi="Times New Roman"/>
        </w:rPr>
        <w:lastRenderedPageBreak/>
        <w:t xml:space="preserve">vezi s člankom 5. stavkom 1. točkom 1. Zakona o posebnom porezu na motorna vozila. Naime, u postupku nije sporna okolnost da vozilo za kojeg se traži izuzeće nije prilagođeno prijevozu invalidnih osoba. </w:t>
      </w:r>
    </w:p>
    <w:p w:rsidR="00144B7A" w:rsidRDefault="00FA075A">
      <w:pPr>
        <w:ind w:firstLine="720"/>
        <w:jc w:val="both"/>
        <w:rPr>
          <w:rFonts w:ascii="Times New Roman" w:hAnsi="Times New Roman"/>
        </w:rPr>
      </w:pPr>
      <w:r>
        <w:rPr>
          <w:rFonts w:ascii="Times New Roman" w:hAnsi="Times New Roman"/>
        </w:rPr>
        <w:t xml:space="preserve">Međutim, člankom 5. stavkom 1. točkom 1. Zakona o posebnom porezu na motorna vozila („Narodne novine“, 15/13., 108/13., 115/16. i 127/17.) propisano je da su predmet oporezivanja na motorna vozila na koja nije obračunat i plaćen posebni porez u Republici Hrvatskoj koja se registriraju sukladno posebnim propisima osobni automobili i ostala motorna vozila konstruirana prvenstveno za prijevoz osoba, uključujući i motorna vozila tipa karavan, kombi i trkaćih automobila iz tarifnih oznaka KN 870321, 870322, 870323, 870324, 870331, 870332, 870333 i 870390. osim sanitetskih vozila, dostavnih van vozila i vozila posebno prilagođenih za prijevoz osoba s invaliditetom. </w:t>
      </w:r>
    </w:p>
    <w:p w:rsidR="00144B7A" w:rsidRDefault="00FA075A">
      <w:pPr>
        <w:ind w:firstLine="720"/>
        <w:jc w:val="both"/>
        <w:rPr>
          <w:rFonts w:ascii="Times New Roman" w:hAnsi="Times New Roman"/>
        </w:rPr>
      </w:pPr>
      <w:r>
        <w:rPr>
          <w:rFonts w:ascii="Times New Roman" w:hAnsi="Times New Roman"/>
        </w:rPr>
        <w:t xml:space="preserve">Kako u konkretnom slučaju niti tužiteljica ne osporava da njeno vozilo nije posebno prilagođeno za prijevoz osoba s invaliditetom, prema ocjeni i ovoga Suda osporenom presudom kojom je odbijen tužbeni zahtjev za poništenje rješenja Ministarstva financija, kojim je odbijena žalba tužiteljice izjavljena protiv prvostupanjskog rješenja, uz obrazloženje kako vozilo za koje se traži izuzeće od plaćanja poreza nije prilagođeno osobama s invaliditetom, iz kojeg razloga ne može biti izuzeto od plaćanja posebnog poreza, nije povrijeđen zakon na štetu tužiteljice. </w:t>
      </w:r>
    </w:p>
    <w:p w:rsidR="00144B7A" w:rsidRDefault="00FA075A">
      <w:pPr>
        <w:ind w:firstLine="720"/>
        <w:jc w:val="both"/>
        <w:rPr>
          <w:rFonts w:ascii="Times New Roman" w:hAnsi="Times New Roman"/>
        </w:rPr>
      </w:pPr>
      <w:r>
        <w:rPr>
          <w:rFonts w:ascii="Times New Roman" w:hAnsi="Times New Roman"/>
        </w:rPr>
        <w:t xml:space="preserve">Stoga je pravilno odbijen tužbeni zahtjev za poništenje navedenog rješenja. </w:t>
      </w:r>
    </w:p>
    <w:p w:rsidR="00144B7A" w:rsidRDefault="00FA075A">
      <w:pPr>
        <w:ind w:firstLine="720"/>
        <w:jc w:val="both"/>
        <w:rPr>
          <w:rFonts w:ascii="Times New Roman" w:hAnsi="Times New Roman"/>
        </w:rPr>
      </w:pPr>
      <w:r>
        <w:rPr>
          <w:rFonts w:ascii="Times New Roman" w:hAnsi="Times New Roman"/>
        </w:rPr>
        <w:t xml:space="preserve">Ovdje posebno valja navesti kako je tužiteljica tijekom postupka pred upravnim tijelima i pred prvostupanjskim sudom isticala iste prigovore na koje je odgovorilo tuženo tijelo, a potom i prvostupanjski sud. </w:t>
      </w:r>
    </w:p>
    <w:p w:rsidR="00144B7A" w:rsidRDefault="00FA075A">
      <w:pPr>
        <w:ind w:firstLine="720"/>
        <w:jc w:val="both"/>
        <w:rPr>
          <w:rFonts w:ascii="Times New Roman" w:hAnsi="Times New Roman"/>
        </w:rPr>
      </w:pPr>
      <w:r>
        <w:rPr>
          <w:rFonts w:ascii="Times New Roman" w:hAnsi="Times New Roman"/>
        </w:rPr>
        <w:t xml:space="preserve">Kako je utvrđeno da ne postoje razlozi zbog kojih tužiteljica pobija prvostupanjsku presudu, kao ni razlozi na koje Visoki upravni sud pazi po službenoj dužnosti (članak 73. stavak 1. ZUS-a), na temelju odredbe članak 74. stavka 1. ZUS-a žalba je odbijena kao neosnovana i potvrđena prvostupanjska presuda. </w:t>
      </w:r>
    </w:p>
    <w:p w:rsidR="00144B7A" w:rsidRDefault="00144B7A">
      <w:pPr>
        <w:ind w:firstLine="720"/>
        <w:jc w:val="both"/>
        <w:rPr>
          <w:rFonts w:ascii="Times New Roman" w:hAnsi="Times New Roman"/>
        </w:rPr>
      </w:pPr>
    </w:p>
    <w:p w:rsidR="00144B7A" w:rsidRDefault="00FA075A">
      <w:pPr>
        <w:jc w:val="center"/>
        <w:rPr>
          <w:rFonts w:ascii="Times New Roman" w:hAnsi="Times New Roman"/>
        </w:rPr>
      </w:pPr>
      <w:r>
        <w:rPr>
          <w:rFonts w:ascii="Times New Roman" w:hAnsi="Times New Roman"/>
        </w:rPr>
        <w:t>U Zagrebu</w:t>
      </w:r>
      <w:bookmarkStart w:id="6" w:name="Datum"/>
      <w:bookmarkEnd w:id="6"/>
      <w:r>
        <w:rPr>
          <w:rFonts w:ascii="Times New Roman" w:hAnsi="Times New Roman"/>
        </w:rPr>
        <w:t xml:space="preserve"> 3. veljače 2021.      </w:t>
      </w:r>
      <w:bookmarkStart w:id="7" w:name="MZ1"/>
      <w:bookmarkEnd w:id="7"/>
    </w:p>
    <w:p w:rsidR="00144B7A" w:rsidRDefault="00FA075A">
      <w:pPr>
        <w:jc w:val="right"/>
        <w:rPr>
          <w:rFonts w:ascii="Times New Roman" w:hAnsi="Times New Roman"/>
        </w:rPr>
      </w:pPr>
      <w:r>
        <w:rPr>
          <w:rFonts w:ascii="Times New Roman" w:hAnsi="Times New Roman"/>
        </w:rPr>
        <w:t>Predsjednica vijeća</w:t>
      </w:r>
    </w:p>
    <w:p w:rsidR="00144B7A" w:rsidRDefault="00FA075A">
      <w:pPr>
        <w:jc w:val="right"/>
        <w:rPr>
          <w:rFonts w:ascii="Times New Roman" w:hAnsi="Times New Roman"/>
        </w:rPr>
      </w:pPr>
      <w:r>
        <w:rPr>
          <w:rFonts w:ascii="Times New Roman" w:hAnsi="Times New Roman"/>
        </w:rPr>
        <w:t>Lidija Rostaš, v.r.</w:t>
      </w:r>
    </w:p>
    <w:p w:rsidR="00144B7A" w:rsidRDefault="00144B7A">
      <w:pPr>
        <w:jc w:val="right"/>
        <w:rPr>
          <w:rFonts w:ascii="Times New Roman" w:hAnsi="Times New Roman"/>
        </w:rPr>
      </w:pPr>
    </w:p>
    <w:p w:rsidR="00144B7A" w:rsidRDefault="00144B7A">
      <w:pPr>
        <w:jc w:val="right"/>
        <w:rPr>
          <w:rFonts w:ascii="Times New Roman" w:hAnsi="Times New Roman"/>
        </w:rPr>
      </w:pPr>
    </w:p>
    <w:p w:rsidR="00144B7A" w:rsidRDefault="00144B7A">
      <w:pPr>
        <w:jc w:val="right"/>
        <w:rPr>
          <w:rFonts w:ascii="Times New Roman" w:hAnsi="Times New Roman"/>
        </w:rPr>
      </w:pPr>
    </w:p>
    <w:p w:rsidR="00144B7A" w:rsidRDefault="00144B7A">
      <w:pPr>
        <w:ind w:left="360"/>
        <w:jc w:val="both"/>
        <w:rPr>
          <w:rFonts w:ascii="Times New Roman" w:hAnsi="Times New Roman"/>
        </w:rPr>
      </w:pPr>
    </w:p>
    <w:sectPr w:rsidR="00144B7A">
      <w:headerReference w:type="default" r:id="rId7"/>
      <w:pgSz w:w="11906" w:h="16838"/>
      <w:pgMar w:top="1985" w:right="1418" w:bottom="1418" w:left="1418" w:header="1134" w:footer="113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3FC" w:rsidRDefault="00FA075A">
      <w:r>
        <w:separator/>
      </w:r>
    </w:p>
  </w:endnote>
  <w:endnote w:type="continuationSeparator" w:id="0">
    <w:p w:rsidR="00B173FC" w:rsidRDefault="00FA0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panose1 w:val="020206030504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3FC" w:rsidRDefault="00FA075A">
      <w:r>
        <w:separator/>
      </w:r>
    </w:p>
  </w:footnote>
  <w:footnote w:type="continuationSeparator" w:id="0">
    <w:p w:rsidR="00B173FC" w:rsidRDefault="00FA0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B7A" w:rsidRDefault="00FA075A">
    <w:pPr>
      <w:pStyle w:val="Zaglavlje"/>
      <w:rPr>
        <w:rFonts w:ascii="Times New Roman" w:hAnsi="Times New Roman"/>
      </w:rPr>
    </w:pPr>
    <w:r>
      <w:rPr>
        <w:rFonts w:ascii="Times New Roman" w:hAnsi="Times New Roman"/>
      </w:rPr>
      <w:tab/>
      <w:t xml:space="preserve">-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651921">
      <w:rPr>
        <w:rFonts w:ascii="Times New Roman" w:hAnsi="Times New Roman"/>
        <w:noProof/>
      </w:rPr>
      <w:t>2</w:t>
    </w:r>
    <w:r>
      <w:rPr>
        <w:rFonts w:ascii="Times New Roman" w:hAnsi="Times New Roman"/>
      </w:rPr>
      <w:fldChar w:fldCharType="end"/>
    </w:r>
    <w:r>
      <w:rPr>
        <w:rFonts w:ascii="Times New Roman" w:hAnsi="Times New Roman"/>
      </w:rPr>
      <w:t xml:space="preserve"> -</w:t>
    </w:r>
    <w:r>
      <w:rPr>
        <w:rFonts w:ascii="Times New Roman" w:hAnsi="Times New Roman"/>
      </w:rPr>
      <w:tab/>
      <w:t>Poslovni broj: Usž-359/21-2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F9F"/>
    <w:multiLevelType w:val="hybridMultilevel"/>
    <w:tmpl w:val="AD12F5E8"/>
    <w:lvl w:ilvl="0" w:tplc="7F64E43B">
      <w:numFmt w:val="bullet"/>
      <w:lvlText w:val="-"/>
      <w:lvlJc w:val="left"/>
      <w:pPr>
        <w:ind w:left="1080" w:hanging="360"/>
      </w:pPr>
      <w:rPr>
        <w:rFonts w:ascii="Times New Roman" w:hAnsi="Times New Roman"/>
      </w:rPr>
    </w:lvl>
    <w:lvl w:ilvl="1" w:tplc="78070E9C">
      <w:start w:val="1"/>
      <w:numFmt w:val="bullet"/>
      <w:lvlText w:val="o"/>
      <w:lvlJc w:val="left"/>
      <w:pPr>
        <w:ind w:left="1800" w:hanging="360"/>
      </w:pPr>
      <w:rPr>
        <w:rFonts w:ascii="Courier New" w:hAnsi="Courier New"/>
      </w:rPr>
    </w:lvl>
    <w:lvl w:ilvl="2" w:tplc="644AEBC3">
      <w:start w:val="1"/>
      <w:numFmt w:val="bullet"/>
      <w:lvlText w:val=""/>
      <w:lvlJc w:val="left"/>
      <w:pPr>
        <w:ind w:left="2520" w:hanging="360"/>
      </w:pPr>
      <w:rPr>
        <w:rFonts w:ascii="Wingdings" w:hAnsi="Wingdings"/>
      </w:rPr>
    </w:lvl>
    <w:lvl w:ilvl="3" w:tplc="7B6B5D79">
      <w:start w:val="1"/>
      <w:numFmt w:val="bullet"/>
      <w:lvlText w:val=""/>
      <w:lvlJc w:val="left"/>
      <w:pPr>
        <w:ind w:left="3240" w:hanging="360"/>
      </w:pPr>
      <w:rPr>
        <w:rFonts w:ascii="Symbol" w:hAnsi="Symbol"/>
      </w:rPr>
    </w:lvl>
    <w:lvl w:ilvl="4" w:tplc="63C75D41">
      <w:start w:val="1"/>
      <w:numFmt w:val="bullet"/>
      <w:lvlText w:val="o"/>
      <w:lvlJc w:val="left"/>
      <w:pPr>
        <w:ind w:left="3960" w:hanging="360"/>
      </w:pPr>
      <w:rPr>
        <w:rFonts w:ascii="Courier New" w:hAnsi="Courier New"/>
      </w:rPr>
    </w:lvl>
    <w:lvl w:ilvl="5" w:tplc="3382CDE7">
      <w:start w:val="1"/>
      <w:numFmt w:val="bullet"/>
      <w:lvlText w:val=""/>
      <w:lvlJc w:val="left"/>
      <w:pPr>
        <w:ind w:left="4680" w:hanging="360"/>
      </w:pPr>
      <w:rPr>
        <w:rFonts w:ascii="Wingdings" w:hAnsi="Wingdings"/>
      </w:rPr>
    </w:lvl>
    <w:lvl w:ilvl="6" w:tplc="6BA0197E">
      <w:start w:val="1"/>
      <w:numFmt w:val="bullet"/>
      <w:lvlText w:val=""/>
      <w:lvlJc w:val="left"/>
      <w:pPr>
        <w:ind w:left="5400" w:hanging="360"/>
      </w:pPr>
      <w:rPr>
        <w:rFonts w:ascii="Symbol" w:hAnsi="Symbol"/>
      </w:rPr>
    </w:lvl>
    <w:lvl w:ilvl="7" w:tplc="37C91E75">
      <w:start w:val="1"/>
      <w:numFmt w:val="bullet"/>
      <w:lvlText w:val="o"/>
      <w:lvlJc w:val="left"/>
      <w:pPr>
        <w:ind w:left="6120" w:hanging="360"/>
      </w:pPr>
      <w:rPr>
        <w:rFonts w:ascii="Courier New" w:hAnsi="Courier New"/>
      </w:rPr>
    </w:lvl>
    <w:lvl w:ilvl="8" w:tplc="0F4BE2B7">
      <w:start w:val="1"/>
      <w:numFmt w:val="bullet"/>
      <w:lvlText w:val=""/>
      <w:lvlJc w:val="left"/>
      <w:pPr>
        <w:ind w:left="6840" w:hanging="360"/>
      </w:pPr>
      <w:rPr>
        <w:rFonts w:ascii="Wingdings" w:hAnsi="Wingdings"/>
      </w:rPr>
    </w:lvl>
  </w:abstractNum>
  <w:abstractNum w:abstractNumId="1" w15:restartNumberingAfterBreak="0">
    <w:nsid w:val="04C36CA5"/>
    <w:multiLevelType w:val="multilevel"/>
    <w:tmpl w:val="007631C6"/>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1CF78BF"/>
    <w:multiLevelType w:val="multilevel"/>
    <w:tmpl w:val="C81A00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36E2389"/>
    <w:multiLevelType w:val="multilevel"/>
    <w:tmpl w:val="F904908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6DA54CA"/>
    <w:multiLevelType w:val="multilevel"/>
    <w:tmpl w:val="253CD38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983E82"/>
    <w:multiLevelType w:val="multilevel"/>
    <w:tmpl w:val="4FE0D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9CE7510"/>
    <w:multiLevelType w:val="multilevel"/>
    <w:tmpl w:val="C79C47D0"/>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7" w15:restartNumberingAfterBreak="0">
    <w:nsid w:val="2A761A70"/>
    <w:multiLevelType w:val="hybridMultilevel"/>
    <w:tmpl w:val="7B5CE77E"/>
    <w:lvl w:ilvl="0" w:tplc="0E15E2FC">
      <w:numFmt w:val="bullet"/>
      <w:lvlText w:val="-"/>
      <w:lvlJc w:val="left"/>
      <w:pPr>
        <w:ind w:left="1080" w:hanging="360"/>
      </w:pPr>
      <w:rPr>
        <w:rFonts w:ascii="Times New Roman" w:hAnsi="Times New Roman"/>
      </w:rPr>
    </w:lvl>
    <w:lvl w:ilvl="1" w:tplc="12D3B4AE">
      <w:start w:val="1"/>
      <w:numFmt w:val="bullet"/>
      <w:lvlText w:val="o"/>
      <w:lvlJc w:val="left"/>
      <w:pPr>
        <w:ind w:left="1800" w:hanging="360"/>
      </w:pPr>
      <w:rPr>
        <w:rFonts w:ascii="Courier New" w:hAnsi="Courier New"/>
      </w:rPr>
    </w:lvl>
    <w:lvl w:ilvl="2" w:tplc="40FEAA49">
      <w:start w:val="1"/>
      <w:numFmt w:val="bullet"/>
      <w:lvlText w:val=""/>
      <w:lvlJc w:val="left"/>
      <w:pPr>
        <w:ind w:left="2520" w:hanging="360"/>
      </w:pPr>
      <w:rPr>
        <w:rFonts w:ascii="Wingdings" w:hAnsi="Wingdings"/>
      </w:rPr>
    </w:lvl>
    <w:lvl w:ilvl="3" w:tplc="53012548">
      <w:start w:val="1"/>
      <w:numFmt w:val="bullet"/>
      <w:lvlText w:val=""/>
      <w:lvlJc w:val="left"/>
      <w:pPr>
        <w:ind w:left="3240" w:hanging="360"/>
      </w:pPr>
      <w:rPr>
        <w:rFonts w:ascii="Symbol" w:hAnsi="Symbol"/>
      </w:rPr>
    </w:lvl>
    <w:lvl w:ilvl="4" w:tplc="2660647B">
      <w:start w:val="1"/>
      <w:numFmt w:val="bullet"/>
      <w:lvlText w:val="o"/>
      <w:lvlJc w:val="left"/>
      <w:pPr>
        <w:ind w:left="3960" w:hanging="360"/>
      </w:pPr>
      <w:rPr>
        <w:rFonts w:ascii="Courier New" w:hAnsi="Courier New"/>
      </w:rPr>
    </w:lvl>
    <w:lvl w:ilvl="5" w:tplc="1A7C8514">
      <w:start w:val="1"/>
      <w:numFmt w:val="bullet"/>
      <w:lvlText w:val=""/>
      <w:lvlJc w:val="left"/>
      <w:pPr>
        <w:ind w:left="4680" w:hanging="360"/>
      </w:pPr>
      <w:rPr>
        <w:rFonts w:ascii="Wingdings" w:hAnsi="Wingdings"/>
      </w:rPr>
    </w:lvl>
    <w:lvl w:ilvl="6" w:tplc="289BD1CF">
      <w:start w:val="1"/>
      <w:numFmt w:val="bullet"/>
      <w:lvlText w:val=""/>
      <w:lvlJc w:val="left"/>
      <w:pPr>
        <w:ind w:left="5400" w:hanging="360"/>
      </w:pPr>
      <w:rPr>
        <w:rFonts w:ascii="Symbol" w:hAnsi="Symbol"/>
      </w:rPr>
    </w:lvl>
    <w:lvl w:ilvl="7" w:tplc="2C8B1AD7">
      <w:start w:val="1"/>
      <w:numFmt w:val="bullet"/>
      <w:lvlText w:val="o"/>
      <w:lvlJc w:val="left"/>
      <w:pPr>
        <w:ind w:left="6120" w:hanging="360"/>
      </w:pPr>
      <w:rPr>
        <w:rFonts w:ascii="Courier New" w:hAnsi="Courier New"/>
      </w:rPr>
    </w:lvl>
    <w:lvl w:ilvl="8" w:tplc="57A931F0">
      <w:start w:val="1"/>
      <w:numFmt w:val="bullet"/>
      <w:lvlText w:val=""/>
      <w:lvlJc w:val="left"/>
      <w:pPr>
        <w:ind w:left="6840" w:hanging="360"/>
      </w:pPr>
      <w:rPr>
        <w:rFonts w:ascii="Wingdings" w:hAnsi="Wingdings"/>
      </w:rPr>
    </w:lvl>
  </w:abstractNum>
  <w:abstractNum w:abstractNumId="8" w15:restartNumberingAfterBreak="0">
    <w:nsid w:val="453A0865"/>
    <w:multiLevelType w:val="multilevel"/>
    <w:tmpl w:val="186061AC"/>
    <w:lvl w:ilvl="0">
      <w:start w:val="1"/>
      <w:numFmt w:val="upp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15:restartNumberingAfterBreak="0">
    <w:nsid w:val="48227B20"/>
    <w:multiLevelType w:val="hybridMultilevel"/>
    <w:tmpl w:val="9FDC62F4"/>
    <w:lvl w:ilvl="0" w:tplc="07B3069D">
      <w:start w:val="2"/>
      <w:numFmt w:val="bullet"/>
      <w:lvlText w:val="-"/>
      <w:lvlJc w:val="left"/>
      <w:pPr>
        <w:ind w:left="1080" w:hanging="360"/>
      </w:pPr>
      <w:rPr>
        <w:rFonts w:ascii="Times New Roman" w:hAnsi="Times New Roman"/>
      </w:rPr>
    </w:lvl>
    <w:lvl w:ilvl="1" w:tplc="00E1A76F">
      <w:start w:val="1"/>
      <w:numFmt w:val="bullet"/>
      <w:lvlText w:val="o"/>
      <w:lvlJc w:val="left"/>
      <w:pPr>
        <w:ind w:left="1800" w:hanging="360"/>
      </w:pPr>
      <w:rPr>
        <w:rFonts w:ascii="Courier New" w:hAnsi="Courier New"/>
      </w:rPr>
    </w:lvl>
    <w:lvl w:ilvl="2" w:tplc="59CD8AA3">
      <w:start w:val="1"/>
      <w:numFmt w:val="bullet"/>
      <w:lvlText w:val=""/>
      <w:lvlJc w:val="left"/>
      <w:pPr>
        <w:ind w:left="2520" w:hanging="360"/>
      </w:pPr>
      <w:rPr>
        <w:rFonts w:ascii="Wingdings" w:hAnsi="Wingdings"/>
      </w:rPr>
    </w:lvl>
    <w:lvl w:ilvl="3" w:tplc="74F0BCF2">
      <w:start w:val="1"/>
      <w:numFmt w:val="bullet"/>
      <w:lvlText w:val=""/>
      <w:lvlJc w:val="left"/>
      <w:pPr>
        <w:ind w:left="3240" w:hanging="360"/>
      </w:pPr>
      <w:rPr>
        <w:rFonts w:ascii="Symbol" w:hAnsi="Symbol"/>
      </w:rPr>
    </w:lvl>
    <w:lvl w:ilvl="4" w:tplc="57676D60">
      <w:start w:val="1"/>
      <w:numFmt w:val="bullet"/>
      <w:lvlText w:val="o"/>
      <w:lvlJc w:val="left"/>
      <w:pPr>
        <w:ind w:left="3960" w:hanging="360"/>
      </w:pPr>
      <w:rPr>
        <w:rFonts w:ascii="Courier New" w:hAnsi="Courier New"/>
      </w:rPr>
    </w:lvl>
    <w:lvl w:ilvl="5" w:tplc="630F3EFD">
      <w:start w:val="1"/>
      <w:numFmt w:val="bullet"/>
      <w:lvlText w:val=""/>
      <w:lvlJc w:val="left"/>
      <w:pPr>
        <w:ind w:left="4680" w:hanging="360"/>
      </w:pPr>
      <w:rPr>
        <w:rFonts w:ascii="Wingdings" w:hAnsi="Wingdings"/>
      </w:rPr>
    </w:lvl>
    <w:lvl w:ilvl="6" w:tplc="1778C7B2">
      <w:start w:val="1"/>
      <w:numFmt w:val="bullet"/>
      <w:lvlText w:val=""/>
      <w:lvlJc w:val="left"/>
      <w:pPr>
        <w:ind w:left="5400" w:hanging="360"/>
      </w:pPr>
      <w:rPr>
        <w:rFonts w:ascii="Symbol" w:hAnsi="Symbol"/>
      </w:rPr>
    </w:lvl>
    <w:lvl w:ilvl="7" w:tplc="46AB4485">
      <w:start w:val="1"/>
      <w:numFmt w:val="bullet"/>
      <w:lvlText w:val="o"/>
      <w:lvlJc w:val="left"/>
      <w:pPr>
        <w:ind w:left="6120" w:hanging="360"/>
      </w:pPr>
      <w:rPr>
        <w:rFonts w:ascii="Courier New" w:hAnsi="Courier New"/>
      </w:rPr>
    </w:lvl>
    <w:lvl w:ilvl="8" w:tplc="3B6A5A5E">
      <w:start w:val="1"/>
      <w:numFmt w:val="bullet"/>
      <w:lvlText w:val=""/>
      <w:lvlJc w:val="left"/>
      <w:pPr>
        <w:ind w:left="6840" w:hanging="360"/>
      </w:pPr>
      <w:rPr>
        <w:rFonts w:ascii="Wingdings" w:hAnsi="Wingdings"/>
      </w:rPr>
    </w:lvl>
  </w:abstractNum>
  <w:abstractNum w:abstractNumId="10" w15:restartNumberingAfterBreak="0">
    <w:nsid w:val="4D3C2BD6"/>
    <w:multiLevelType w:val="multilevel"/>
    <w:tmpl w:val="780CDCDE"/>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5F9516B5"/>
    <w:multiLevelType w:val="multilevel"/>
    <w:tmpl w:val="C1D22014"/>
    <w:lvl w:ilvl="0">
      <w:start w:val="1"/>
      <w:numFmt w:val="upp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15:restartNumberingAfterBreak="0">
    <w:nsid w:val="7A02756D"/>
    <w:multiLevelType w:val="multilevel"/>
    <w:tmpl w:val="1ADE00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AE62CA2"/>
    <w:multiLevelType w:val="multilevel"/>
    <w:tmpl w:val="95E02B0A"/>
    <w:lvl w:ilvl="0">
      <w:start w:val="1"/>
      <w:numFmt w:val="upp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 w15:restartNumberingAfterBreak="0">
    <w:nsid w:val="7FE71E03"/>
    <w:multiLevelType w:val="hybridMultilevel"/>
    <w:tmpl w:val="6D6C554C"/>
    <w:lvl w:ilvl="0" w:tplc="2C3344FC">
      <w:numFmt w:val="bullet"/>
      <w:lvlText w:val="-"/>
      <w:lvlJc w:val="left"/>
      <w:pPr>
        <w:ind w:left="1080" w:hanging="360"/>
      </w:pPr>
      <w:rPr>
        <w:rFonts w:ascii="Times New Roman" w:hAnsi="Times New Roman"/>
      </w:rPr>
    </w:lvl>
    <w:lvl w:ilvl="1" w:tplc="0E1C4509">
      <w:start w:val="1"/>
      <w:numFmt w:val="bullet"/>
      <w:lvlText w:val="o"/>
      <w:lvlJc w:val="left"/>
      <w:pPr>
        <w:ind w:left="1800" w:hanging="360"/>
      </w:pPr>
      <w:rPr>
        <w:rFonts w:ascii="Courier New" w:hAnsi="Courier New"/>
      </w:rPr>
    </w:lvl>
    <w:lvl w:ilvl="2" w:tplc="144AA41C">
      <w:start w:val="1"/>
      <w:numFmt w:val="bullet"/>
      <w:lvlText w:val=""/>
      <w:lvlJc w:val="left"/>
      <w:pPr>
        <w:ind w:left="2520" w:hanging="360"/>
      </w:pPr>
      <w:rPr>
        <w:rFonts w:ascii="Wingdings" w:hAnsi="Wingdings"/>
      </w:rPr>
    </w:lvl>
    <w:lvl w:ilvl="3" w:tplc="37116895">
      <w:start w:val="1"/>
      <w:numFmt w:val="bullet"/>
      <w:lvlText w:val=""/>
      <w:lvlJc w:val="left"/>
      <w:pPr>
        <w:ind w:left="3240" w:hanging="360"/>
      </w:pPr>
      <w:rPr>
        <w:rFonts w:ascii="Symbol" w:hAnsi="Symbol"/>
      </w:rPr>
    </w:lvl>
    <w:lvl w:ilvl="4" w:tplc="06B4D8DC">
      <w:start w:val="1"/>
      <w:numFmt w:val="bullet"/>
      <w:lvlText w:val="o"/>
      <w:lvlJc w:val="left"/>
      <w:pPr>
        <w:ind w:left="3960" w:hanging="360"/>
      </w:pPr>
      <w:rPr>
        <w:rFonts w:ascii="Courier New" w:hAnsi="Courier New"/>
      </w:rPr>
    </w:lvl>
    <w:lvl w:ilvl="5" w:tplc="509571DD">
      <w:start w:val="1"/>
      <w:numFmt w:val="bullet"/>
      <w:lvlText w:val=""/>
      <w:lvlJc w:val="left"/>
      <w:pPr>
        <w:ind w:left="4680" w:hanging="360"/>
      </w:pPr>
      <w:rPr>
        <w:rFonts w:ascii="Wingdings" w:hAnsi="Wingdings"/>
      </w:rPr>
    </w:lvl>
    <w:lvl w:ilvl="6" w:tplc="444B07D0">
      <w:start w:val="1"/>
      <w:numFmt w:val="bullet"/>
      <w:lvlText w:val=""/>
      <w:lvlJc w:val="left"/>
      <w:pPr>
        <w:ind w:left="5400" w:hanging="360"/>
      </w:pPr>
      <w:rPr>
        <w:rFonts w:ascii="Symbol" w:hAnsi="Symbol"/>
      </w:rPr>
    </w:lvl>
    <w:lvl w:ilvl="7" w:tplc="500B8EA1">
      <w:start w:val="1"/>
      <w:numFmt w:val="bullet"/>
      <w:lvlText w:val="o"/>
      <w:lvlJc w:val="left"/>
      <w:pPr>
        <w:ind w:left="6120" w:hanging="360"/>
      </w:pPr>
      <w:rPr>
        <w:rFonts w:ascii="Courier New" w:hAnsi="Courier New"/>
      </w:rPr>
    </w:lvl>
    <w:lvl w:ilvl="8" w:tplc="6FBAD966">
      <w:start w:val="1"/>
      <w:numFmt w:val="bullet"/>
      <w:lvlText w:val=""/>
      <w:lvlJc w:val="left"/>
      <w:pPr>
        <w:ind w:left="6840" w:hanging="360"/>
      </w:pPr>
      <w:rPr>
        <w:rFonts w:ascii="Wingdings" w:hAnsi="Wingdings"/>
      </w:rPr>
    </w:lvl>
  </w:abstractNum>
  <w:num w:numId="1">
    <w:abstractNumId w:val="12"/>
  </w:num>
  <w:num w:numId="2">
    <w:abstractNumId w:val="2"/>
  </w:num>
  <w:num w:numId="3">
    <w:abstractNumId w:val="11"/>
  </w:num>
  <w:num w:numId="4">
    <w:abstractNumId w:val="1"/>
  </w:num>
  <w:num w:numId="5">
    <w:abstractNumId w:val="13"/>
  </w:num>
  <w:num w:numId="6">
    <w:abstractNumId w:val="3"/>
  </w:num>
  <w:num w:numId="7">
    <w:abstractNumId w:val="5"/>
  </w:num>
  <w:num w:numId="8">
    <w:abstractNumId w:val="6"/>
  </w:num>
  <w:num w:numId="9">
    <w:abstractNumId w:val="4"/>
  </w:num>
  <w:num w:numId="10">
    <w:abstractNumId w:val="10"/>
  </w:num>
  <w:num w:numId="11">
    <w:abstractNumId w:val="7"/>
  </w:num>
  <w:num w:numId="12">
    <w:abstractNumId w:val="0"/>
  </w:num>
  <w:num w:numId="13">
    <w:abstractNumId w:val="14"/>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44B7A"/>
    <w:rsid w:val="00144B7A"/>
    <w:rsid w:val="00651921"/>
    <w:rsid w:val="00B173FC"/>
    <w:rsid w:val="00F47C45"/>
    <w:rsid w:val="00FA075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13C04D-D60D-44BD-8F3E-AA131AB3D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rPr>
      <w:rFonts w:ascii="Tahoma" w:hAnsi="Tahoma"/>
      <w:sz w:val="16"/>
    </w:rPr>
  </w:style>
  <w:style w:type="paragraph" w:styleId="Zaglavlje">
    <w:name w:val="header"/>
    <w:basedOn w:val="Normal"/>
    <w:link w:val="ZaglavljeChar"/>
    <w:pPr>
      <w:tabs>
        <w:tab w:val="center" w:pos="4536"/>
        <w:tab w:val="right" w:pos="9072"/>
      </w:tabs>
    </w:pPr>
  </w:style>
  <w:style w:type="paragraph" w:styleId="Podnoje">
    <w:name w:val="footer"/>
    <w:basedOn w:val="Normal"/>
    <w:link w:val="PodnojeChar"/>
    <w:pPr>
      <w:tabs>
        <w:tab w:val="center" w:pos="4536"/>
        <w:tab w:val="right" w:pos="9072"/>
      </w:tabs>
    </w:pPr>
  </w:style>
  <w:style w:type="character" w:styleId="Brojretka">
    <w:name w:val="line number"/>
    <w:basedOn w:val="Zadanifontodlomka"/>
    <w:semiHidden/>
  </w:style>
  <w:style w:type="character" w:styleId="Hiperveza">
    <w:name w:val="Hyperlink"/>
    <w:rPr>
      <w:color w:val="0000FF"/>
      <w:u w:val="single"/>
    </w:rPr>
  </w:style>
  <w:style w:type="character" w:customStyle="1" w:styleId="ZaglavljeChar">
    <w:name w:val="Zaglavlje Char"/>
    <w:link w:val="Zaglavlje"/>
  </w:style>
  <w:style w:type="character" w:customStyle="1" w:styleId="PodnojeChar">
    <w:name w:val="Podnožje Char"/>
    <w:link w:val="Podnoje"/>
  </w:style>
  <w:style w:type="table" w:styleId="Jednostavnatablica1">
    <w:name w:val="Table Simple 1"/>
    <w:basedOn w:val="Obinatabli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706</Words>
  <Characters>4028</Characters>
  <Application>Microsoft Office Word</Application>
  <DocSecurity>0</DocSecurity>
  <Lines>33</Lines>
  <Paragraphs>9</Paragraphs>
  <ScaleCrop>false</ScaleCrop>
  <Company>Ministarstvo Pravosuda Republike Hrvatske</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 Us-/2001</dc:title>
  <dc:creator>Ivana Firšt</dc:creator>
  <cp:lastModifiedBy>Tanja Nemčić</cp:lastModifiedBy>
  <cp:revision>2</cp:revision>
  <cp:lastPrinted>2021-03-15T11:58:00Z</cp:lastPrinted>
  <dcterms:created xsi:type="dcterms:W3CDTF">2021-11-02T13:59:00Z</dcterms:created>
  <dcterms:modified xsi:type="dcterms:W3CDTF">2021-11-02T13:59:00Z</dcterms:modified>
</cp:coreProperties>
</file>