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31AA" w14:textId="46646748" w:rsidR="00C27E55" w:rsidRPr="009242A8" w:rsidRDefault="00C27E55" w:rsidP="00C27E5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r w:rsidRPr="009242A8">
        <w:rPr>
          <w:rFonts w:eastAsiaTheme="minorHAnsi"/>
          <w:b/>
          <w:i/>
          <w:szCs w:val="24"/>
        </w:rPr>
        <w:t>OBRAZLOŽENJE</w:t>
      </w:r>
      <w:r w:rsidR="007C2BDD" w:rsidRPr="009242A8">
        <w:rPr>
          <w:rFonts w:eastAsiaTheme="minorHAnsi"/>
          <w:b/>
          <w:i/>
          <w:szCs w:val="24"/>
        </w:rPr>
        <w:t xml:space="preserve"> OPĆEG DIJELA </w:t>
      </w:r>
      <w:r w:rsidRPr="009242A8">
        <w:rPr>
          <w:rFonts w:eastAsiaTheme="minorHAnsi"/>
          <w:b/>
          <w:i/>
          <w:szCs w:val="24"/>
        </w:rPr>
        <w:t xml:space="preserve"> FINANCIJSKOG PLANA</w:t>
      </w:r>
    </w:p>
    <w:p w14:paraId="3F8D3E73" w14:textId="28A196F9" w:rsidR="003A5BD2" w:rsidRPr="009242A8" w:rsidRDefault="003A5BD2" w:rsidP="00C27E5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r w:rsidRPr="009242A8">
        <w:rPr>
          <w:rFonts w:eastAsiaTheme="minorHAnsi"/>
          <w:b/>
          <w:i/>
          <w:szCs w:val="24"/>
        </w:rPr>
        <w:t>Trgovački sud u Splitu</w:t>
      </w:r>
    </w:p>
    <w:p w14:paraId="20A9C33E" w14:textId="53DD78EC" w:rsidR="004D714A" w:rsidRPr="009242A8" w:rsidRDefault="004D714A" w:rsidP="004D714A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b/>
          <w:bCs/>
          <w:i/>
          <w:szCs w:val="24"/>
        </w:rPr>
      </w:pPr>
      <w:r w:rsidRPr="009242A8">
        <w:rPr>
          <w:rFonts w:eastAsiaTheme="minorHAnsi"/>
          <w:b/>
          <w:bCs/>
          <w:i/>
          <w:szCs w:val="24"/>
        </w:rPr>
        <w:t>Uvod</w:t>
      </w:r>
    </w:p>
    <w:p w14:paraId="7274D8DD" w14:textId="67533860" w:rsidR="00756BD2" w:rsidRDefault="00756BD2" w:rsidP="004D714A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b/>
          <w:bCs/>
          <w:i/>
          <w:szCs w:val="24"/>
        </w:rPr>
      </w:pPr>
    </w:p>
    <w:p w14:paraId="67C5BA5A" w14:textId="3D033690" w:rsidR="00756BD2" w:rsidRPr="009242A8" w:rsidRDefault="00756BD2" w:rsidP="00756BD2">
      <w:pPr>
        <w:ind w:firstLine="360"/>
        <w:rPr>
          <w:szCs w:val="24"/>
        </w:rPr>
      </w:pPr>
      <w:r w:rsidRPr="009242A8">
        <w:rPr>
          <w:szCs w:val="24"/>
        </w:rPr>
        <w:t>Trgovački sud</w:t>
      </w:r>
      <w:r w:rsidR="000B5F8E" w:rsidRPr="009242A8">
        <w:rPr>
          <w:szCs w:val="24"/>
        </w:rPr>
        <w:t xml:space="preserve"> u Splitu </w:t>
      </w:r>
      <w:r w:rsidRPr="009242A8">
        <w:rPr>
          <w:szCs w:val="24"/>
        </w:rPr>
        <w:t xml:space="preserve"> na dan 31. kolovoza 2022. ima 78 zaposlenika:</w:t>
      </w:r>
    </w:p>
    <w:p w14:paraId="278B1040" w14:textId="77777777" w:rsidR="00756BD2" w:rsidRPr="009242A8" w:rsidRDefault="00756BD2" w:rsidP="00756BD2">
      <w:pPr>
        <w:ind w:firstLine="360"/>
        <w:rPr>
          <w:szCs w:val="24"/>
        </w:rPr>
      </w:pPr>
      <w:r w:rsidRPr="009242A8">
        <w:rPr>
          <w:szCs w:val="24"/>
        </w:rPr>
        <w:t>-15 sudaca</w:t>
      </w:r>
    </w:p>
    <w:p w14:paraId="1CFB1CE7" w14:textId="77777777" w:rsidR="00756BD2" w:rsidRPr="009242A8" w:rsidRDefault="00756BD2" w:rsidP="00756BD2">
      <w:pPr>
        <w:ind w:firstLine="360"/>
        <w:rPr>
          <w:szCs w:val="24"/>
        </w:rPr>
      </w:pPr>
      <w:r w:rsidRPr="009242A8">
        <w:rPr>
          <w:szCs w:val="24"/>
        </w:rPr>
        <w:t>- 59 službenika</w:t>
      </w:r>
    </w:p>
    <w:p w14:paraId="68907F7D" w14:textId="77777777" w:rsidR="00756BD2" w:rsidRPr="009242A8" w:rsidRDefault="00756BD2" w:rsidP="00756BD2">
      <w:pPr>
        <w:ind w:firstLine="360"/>
        <w:rPr>
          <w:szCs w:val="24"/>
        </w:rPr>
      </w:pPr>
      <w:r w:rsidRPr="009242A8">
        <w:rPr>
          <w:szCs w:val="24"/>
        </w:rPr>
        <w:t>- 4 namještenika.</w:t>
      </w:r>
    </w:p>
    <w:p w14:paraId="0A77D9BF" w14:textId="77777777" w:rsidR="00756BD2" w:rsidRPr="009242A8" w:rsidRDefault="00756BD2" w:rsidP="00756BD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32E9271D" w14:textId="77777777" w:rsidR="00756BD2" w:rsidRPr="009242A8" w:rsidRDefault="00756BD2" w:rsidP="00756BD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ab/>
        <w:t xml:space="preserve">Trgovački sud u Splitu pripada razdjelu 109 Ministarstvo pravosuđa i uprave glava 70 Trgovački sudovi (oznaka </w:t>
      </w:r>
      <w:r w:rsidRPr="009242A8">
        <w:rPr>
          <w:rFonts w:eastAsiaTheme="minorHAnsi"/>
          <w:b/>
          <w:szCs w:val="24"/>
        </w:rPr>
        <w:t>10970</w:t>
      </w:r>
      <w:r w:rsidRPr="009242A8">
        <w:rPr>
          <w:rFonts w:eastAsiaTheme="minorHAnsi"/>
          <w:szCs w:val="24"/>
        </w:rPr>
        <w:t xml:space="preserve">). RKP Trgovačkog suda je </w:t>
      </w:r>
      <w:r w:rsidRPr="009242A8">
        <w:rPr>
          <w:rFonts w:eastAsiaTheme="minorHAnsi"/>
          <w:b/>
          <w:szCs w:val="24"/>
        </w:rPr>
        <w:t>3566</w:t>
      </w:r>
      <w:r w:rsidRPr="009242A8">
        <w:rPr>
          <w:rFonts w:eastAsiaTheme="minorHAnsi"/>
          <w:szCs w:val="24"/>
        </w:rPr>
        <w:t xml:space="preserve">. </w:t>
      </w:r>
    </w:p>
    <w:p w14:paraId="189358E3" w14:textId="77777777" w:rsidR="00756BD2" w:rsidRPr="009242A8" w:rsidRDefault="00756BD2" w:rsidP="004D714A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b/>
          <w:bCs/>
          <w:i/>
          <w:szCs w:val="24"/>
        </w:rPr>
      </w:pPr>
    </w:p>
    <w:p w14:paraId="0C779BA0" w14:textId="16A6466C" w:rsidR="004D714A" w:rsidRPr="009242A8" w:rsidRDefault="004D714A" w:rsidP="00AB5DC2">
      <w:pPr>
        <w:ind w:firstLine="360"/>
        <w:jc w:val="both"/>
        <w:rPr>
          <w:szCs w:val="24"/>
        </w:rPr>
      </w:pPr>
      <w:r w:rsidRPr="009242A8">
        <w:rPr>
          <w:szCs w:val="24"/>
        </w:rPr>
        <w:t xml:space="preserve">Izrada prijedloga financijskog plana proračunskog korisnika  temelji se na Zakonu o proračunu (NN </w:t>
      </w:r>
      <w:r w:rsidR="00384CE1" w:rsidRPr="009242A8">
        <w:rPr>
          <w:szCs w:val="24"/>
        </w:rPr>
        <w:t>144/21</w:t>
      </w:r>
      <w:r w:rsidRPr="009242A8">
        <w:rPr>
          <w:szCs w:val="24"/>
        </w:rPr>
        <w:t>), Pravilniku o proračunskom računovodstvu i Računskom planu (</w:t>
      </w:r>
      <w:r w:rsidR="00952681" w:rsidRPr="009242A8">
        <w:rPr>
          <w:szCs w:val="24"/>
        </w:rPr>
        <w:t>NN 124/14, 115/15, 87/16, 3/18,</w:t>
      </w:r>
      <w:r w:rsidRPr="009242A8">
        <w:rPr>
          <w:szCs w:val="24"/>
        </w:rPr>
        <w:t xml:space="preserve"> 126/19</w:t>
      </w:r>
      <w:r w:rsidR="00952681" w:rsidRPr="009242A8">
        <w:rPr>
          <w:szCs w:val="24"/>
        </w:rPr>
        <w:t xml:space="preserve"> i 108/20</w:t>
      </w:r>
      <w:r w:rsidRPr="009242A8">
        <w:rPr>
          <w:szCs w:val="24"/>
        </w:rPr>
        <w:t>) i Pravilniku o proračunskim klasifikacijama (NN 26/10, 120/13 i 1/20).</w:t>
      </w:r>
    </w:p>
    <w:p w14:paraId="639A07EA" w14:textId="77777777" w:rsidR="004D714A" w:rsidRPr="009242A8" w:rsidRDefault="004D714A" w:rsidP="004D714A">
      <w:pPr>
        <w:ind w:firstLine="360"/>
        <w:rPr>
          <w:szCs w:val="24"/>
        </w:rPr>
      </w:pPr>
    </w:p>
    <w:p w14:paraId="272E7E17" w14:textId="06207D18" w:rsidR="004D714A" w:rsidRPr="009242A8" w:rsidRDefault="004D714A" w:rsidP="00AB5DC2">
      <w:pPr>
        <w:ind w:firstLine="360"/>
        <w:jc w:val="both"/>
        <w:rPr>
          <w:szCs w:val="24"/>
        </w:rPr>
      </w:pPr>
      <w:r w:rsidRPr="009242A8">
        <w:rPr>
          <w:szCs w:val="24"/>
        </w:rPr>
        <w:t xml:space="preserve">Temeljem uputa </w:t>
      </w:r>
      <w:r w:rsidR="005C2070" w:rsidRPr="009242A8">
        <w:rPr>
          <w:szCs w:val="24"/>
        </w:rPr>
        <w:t>M</w:t>
      </w:r>
      <w:r w:rsidR="00D5612C" w:rsidRPr="009242A8">
        <w:rPr>
          <w:szCs w:val="24"/>
        </w:rPr>
        <w:t xml:space="preserve">inistarstva financija </w:t>
      </w:r>
      <w:r w:rsidRPr="009242A8">
        <w:rPr>
          <w:szCs w:val="24"/>
        </w:rPr>
        <w:t xml:space="preserve">za izradu prijedloga </w:t>
      </w:r>
      <w:r w:rsidR="00E34ECE" w:rsidRPr="009242A8">
        <w:rPr>
          <w:szCs w:val="24"/>
        </w:rPr>
        <w:t xml:space="preserve">Državnog </w:t>
      </w:r>
      <w:r w:rsidRPr="009242A8">
        <w:rPr>
          <w:szCs w:val="24"/>
        </w:rPr>
        <w:t>proračuna</w:t>
      </w:r>
      <w:r w:rsidR="00E34ECE" w:rsidRPr="009242A8">
        <w:rPr>
          <w:szCs w:val="24"/>
        </w:rPr>
        <w:t xml:space="preserve"> Republike Hrvatske za razdoblje 2023.-2025.</w:t>
      </w:r>
      <w:r w:rsidR="00AB5DC2" w:rsidRPr="009242A8">
        <w:rPr>
          <w:szCs w:val="24"/>
        </w:rPr>
        <w:t xml:space="preserve"> </w:t>
      </w:r>
      <w:r w:rsidR="00E34ECE" w:rsidRPr="009242A8">
        <w:rPr>
          <w:szCs w:val="24"/>
        </w:rPr>
        <w:t>godinu</w:t>
      </w:r>
      <w:r w:rsidR="005C2070" w:rsidRPr="009242A8">
        <w:rPr>
          <w:szCs w:val="24"/>
        </w:rPr>
        <w:t xml:space="preserve"> i limita koje je odredilo Ministarstvo pravosuđa i uprave</w:t>
      </w:r>
      <w:r w:rsidRPr="009242A8">
        <w:rPr>
          <w:szCs w:val="24"/>
        </w:rPr>
        <w:t>, Trgovački sud u Splitu izrađuje prijedlog financijskog plana koji sadrži:</w:t>
      </w:r>
    </w:p>
    <w:p w14:paraId="15AC8CC4" w14:textId="17A0F3ED" w:rsidR="00D5612C" w:rsidRPr="009242A8" w:rsidRDefault="00D5612C" w:rsidP="004D714A">
      <w:pPr>
        <w:ind w:firstLine="360"/>
        <w:rPr>
          <w:szCs w:val="24"/>
        </w:rPr>
      </w:pPr>
    </w:p>
    <w:p w14:paraId="47E5D86F" w14:textId="77777777" w:rsidR="00FF7B1F" w:rsidRPr="009242A8" w:rsidRDefault="00FF7B1F" w:rsidP="00AB5DC2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OPĆI DIO FINANCIJSKOG PLANA</w:t>
      </w:r>
    </w:p>
    <w:p w14:paraId="57ACE9AC" w14:textId="77777777" w:rsidR="00FF7B1F" w:rsidRPr="009242A8" w:rsidRDefault="00FF7B1F" w:rsidP="00AB5DC2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1F8D530A" w14:textId="77777777" w:rsidR="00FF7B1F" w:rsidRPr="009242A8" w:rsidRDefault="00FF7B1F" w:rsidP="00AB5DC2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Sažetak Računa prihoda i rashoda</w:t>
      </w:r>
    </w:p>
    <w:p w14:paraId="0BB75B29" w14:textId="77777777" w:rsidR="00FF7B1F" w:rsidRPr="009242A8" w:rsidRDefault="00FF7B1F" w:rsidP="00AB5DC2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Sažetak Računa financiranja</w:t>
      </w:r>
    </w:p>
    <w:p w14:paraId="1430F409" w14:textId="77777777" w:rsidR="00FF7B1F" w:rsidRPr="009242A8" w:rsidRDefault="00FF7B1F" w:rsidP="00AB5DC2">
      <w:pPr>
        <w:pStyle w:val="Bezproreda"/>
        <w:ind w:left="1428" w:firstLine="696"/>
        <w:jc w:val="both"/>
        <w:rPr>
          <w:szCs w:val="24"/>
        </w:rPr>
      </w:pPr>
      <w:r w:rsidRPr="009242A8">
        <w:rPr>
          <w:szCs w:val="24"/>
        </w:rPr>
        <w:t>Opis elementa:</w:t>
      </w:r>
    </w:p>
    <w:p w14:paraId="350EC354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prihodi poslovanja i prihodi od prodaje nefinancijske imovine, rashodi poslovanja i rashodi za nabavu nefinancijske imovine</w:t>
      </w:r>
    </w:p>
    <w:p w14:paraId="126840FD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primici od financijske imovine i zaduživanja i izdaci za financijsku imovinu i otplate zajmova</w:t>
      </w:r>
    </w:p>
    <w:p w14:paraId="4491EAB9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ako ukupni prihodi i primici nisu jednaki ukupnim rashodima i izdacima, financijski plan sadrži i prijenos sredstava iz prethodne godine (donos) i prijenos sredstava u slijedeću godinu (odnos)</w:t>
      </w:r>
    </w:p>
    <w:p w14:paraId="2CE6999E" w14:textId="77777777" w:rsidR="00FF7B1F" w:rsidRPr="009242A8" w:rsidRDefault="00FF7B1F" w:rsidP="00AB5DC2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25A01725" w14:textId="77777777" w:rsidR="00FF7B1F" w:rsidRPr="009242A8" w:rsidRDefault="00FF7B1F" w:rsidP="00AB5DC2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Račun prihoda i rashoda</w:t>
      </w:r>
    </w:p>
    <w:p w14:paraId="09A4AAA1" w14:textId="77777777" w:rsidR="00FF7B1F" w:rsidRPr="009242A8" w:rsidRDefault="00FF7B1F" w:rsidP="00AB5DC2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Opis elementa:</w:t>
      </w:r>
    </w:p>
    <w:p w14:paraId="0D32A135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prihodi i rashodi iskazani prema izvorima financiranja i ekonomskoj klasifikaciji</w:t>
      </w:r>
    </w:p>
    <w:p w14:paraId="6A5F2300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rashodi iskazani prema izvorima financiranja</w:t>
      </w:r>
    </w:p>
    <w:p w14:paraId="5ECEB268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rashodi iskazani prema funkcijskoj klasifikaciji</w:t>
      </w:r>
    </w:p>
    <w:p w14:paraId="3A9F1FD7" w14:textId="77777777" w:rsidR="00FF7B1F" w:rsidRPr="009242A8" w:rsidRDefault="00FF7B1F" w:rsidP="00AB5DC2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05954FB4" w14:textId="77777777" w:rsidR="00FF7B1F" w:rsidRPr="009242A8" w:rsidRDefault="00FF7B1F" w:rsidP="00AB5DC2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Račun financiranja</w:t>
      </w:r>
    </w:p>
    <w:p w14:paraId="4C1F62A3" w14:textId="77777777" w:rsidR="00FF7B1F" w:rsidRPr="009242A8" w:rsidRDefault="00FF7B1F" w:rsidP="00AB5DC2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lastRenderedPageBreak/>
        <w:t>Opis elementa:</w:t>
      </w:r>
    </w:p>
    <w:p w14:paraId="6B17F488" w14:textId="77777777" w:rsidR="00FF7B1F" w:rsidRPr="009242A8" w:rsidRDefault="00FF7B1F" w:rsidP="00AB5DC2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primici od financijske imovine i zaduživanja i izdaci za financijsku imovinu i otplate zajmova prema izvorima financiranja i ekonomskoj klasifikaciji</w:t>
      </w:r>
    </w:p>
    <w:p w14:paraId="110D0623" w14:textId="77777777" w:rsidR="00FF7B1F" w:rsidRPr="009242A8" w:rsidRDefault="00FF7B1F" w:rsidP="00FF7B1F">
      <w:pPr>
        <w:pStyle w:val="Bezproreda"/>
        <w:jc w:val="both"/>
        <w:rPr>
          <w:szCs w:val="24"/>
        </w:rPr>
      </w:pPr>
    </w:p>
    <w:p w14:paraId="3BB12297" w14:textId="77777777" w:rsidR="00FF7B1F" w:rsidRPr="009242A8" w:rsidRDefault="00FF7B1F" w:rsidP="00FF7B1F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POSEBNI DIO FINANCIJSKOG PLANA</w:t>
      </w:r>
    </w:p>
    <w:p w14:paraId="1588C556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3B073CD9" w14:textId="77777777" w:rsidR="00FF7B1F" w:rsidRPr="009242A8" w:rsidRDefault="00FF7B1F" w:rsidP="00FF7B1F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Plan rashoda i izdataka proračunskih korisnika</w:t>
      </w:r>
    </w:p>
    <w:p w14:paraId="1FB62B0C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Opis elementa:</w:t>
      </w:r>
    </w:p>
    <w:p w14:paraId="2A9E3983" w14:textId="77777777" w:rsidR="00FF7B1F" w:rsidRPr="009242A8" w:rsidRDefault="00FF7B1F" w:rsidP="00FF7B1F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rashodi i izdaci iskazani po izvorima financiranja i ekonomskoj klasifikaciji, raspoređeni u programe koji se sastoje od aktivnosti i projekata</w:t>
      </w:r>
    </w:p>
    <w:p w14:paraId="13111B61" w14:textId="77777777" w:rsidR="00FF7B1F" w:rsidRPr="009242A8" w:rsidRDefault="00FF7B1F" w:rsidP="00FF7B1F">
      <w:pPr>
        <w:pStyle w:val="Bezproreda"/>
        <w:jc w:val="both"/>
        <w:rPr>
          <w:szCs w:val="24"/>
        </w:rPr>
      </w:pPr>
    </w:p>
    <w:p w14:paraId="125401FA" w14:textId="77777777" w:rsidR="00FF7B1F" w:rsidRPr="009242A8" w:rsidRDefault="00FF7B1F" w:rsidP="00FF7B1F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OBRAZLOŽENJE FINANCIJSKOG PLANA</w:t>
      </w:r>
    </w:p>
    <w:p w14:paraId="3BDC8DF7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173F14C6" w14:textId="77777777" w:rsidR="00FF7B1F" w:rsidRPr="009242A8" w:rsidRDefault="00FF7B1F" w:rsidP="00FF7B1F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Obrazloženje općeg dijela financijskog plana</w:t>
      </w:r>
    </w:p>
    <w:p w14:paraId="6A0CB3D0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Opis elementa:</w:t>
      </w:r>
    </w:p>
    <w:p w14:paraId="045B2222" w14:textId="77777777" w:rsidR="00FF7B1F" w:rsidRPr="009242A8" w:rsidRDefault="00FF7B1F" w:rsidP="00FF7B1F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obrazloženje prihoda i primitaka, rashoda i izdataka</w:t>
      </w:r>
    </w:p>
    <w:p w14:paraId="37393796" w14:textId="77777777" w:rsidR="00FF7B1F" w:rsidRPr="009242A8" w:rsidRDefault="00FF7B1F" w:rsidP="00FF7B1F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obrazloženje prijenosa sredstava iz prethodne i u slijedeću godinu</w:t>
      </w:r>
    </w:p>
    <w:p w14:paraId="2916490A" w14:textId="77777777" w:rsidR="00FF7B1F" w:rsidRPr="009242A8" w:rsidRDefault="00FF7B1F" w:rsidP="00FF7B1F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prikaz stanja ukupnih i dospjelih obveza</w:t>
      </w:r>
    </w:p>
    <w:p w14:paraId="56FCCC6A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Element:</w:t>
      </w:r>
    </w:p>
    <w:p w14:paraId="3B3AD8CC" w14:textId="77777777" w:rsidR="00FF7B1F" w:rsidRPr="009242A8" w:rsidRDefault="00FF7B1F" w:rsidP="00FF7B1F">
      <w:pPr>
        <w:pStyle w:val="Bezproreda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Obrazloženje posebnog dijela financijskog plana</w:t>
      </w:r>
    </w:p>
    <w:p w14:paraId="5B9BDF3A" w14:textId="77777777" w:rsidR="00FF7B1F" w:rsidRPr="009242A8" w:rsidRDefault="00FF7B1F" w:rsidP="00FF7B1F">
      <w:pPr>
        <w:pStyle w:val="Bezproreda"/>
        <w:ind w:left="720"/>
        <w:jc w:val="both"/>
        <w:rPr>
          <w:szCs w:val="24"/>
        </w:rPr>
      </w:pPr>
      <w:r w:rsidRPr="009242A8">
        <w:rPr>
          <w:szCs w:val="24"/>
        </w:rPr>
        <w:t>Opis elementa:</w:t>
      </w:r>
    </w:p>
    <w:p w14:paraId="05CF9B1A" w14:textId="087DDE8F" w:rsidR="00FF7B1F" w:rsidRPr="009242A8" w:rsidRDefault="00FF7B1F" w:rsidP="00FF7B1F">
      <w:pPr>
        <w:pStyle w:val="Bezproreda"/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42A8">
        <w:rPr>
          <w:szCs w:val="24"/>
        </w:rPr>
        <w:t>obrazloženja programa koji se daje kroz obrazloženje aktivnosti i projekata zajedno s ciljevima i pokazateljima uspješnosti iz akata strateškog planiranja i godišnjeg plana rada</w:t>
      </w:r>
    </w:p>
    <w:p w14:paraId="5FCFCA92" w14:textId="419B2CD7" w:rsidR="00FF7B1F" w:rsidRPr="009242A8" w:rsidRDefault="00FF7B1F" w:rsidP="00FF7B1F">
      <w:pPr>
        <w:pStyle w:val="Bezproreda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105EEA5A" w14:textId="43B1D4FB" w:rsidR="004D714A" w:rsidRPr="009242A8" w:rsidRDefault="00FF7B1F" w:rsidP="00AB5DC2">
      <w:pPr>
        <w:pStyle w:val="Bezproreda"/>
        <w:ind w:firstLine="708"/>
        <w:jc w:val="both"/>
        <w:rPr>
          <w:szCs w:val="24"/>
        </w:rPr>
      </w:pPr>
      <w:r w:rsidRPr="009242A8">
        <w:rPr>
          <w:szCs w:val="24"/>
        </w:rPr>
        <w:t>Prijedlog financijskog plana Trgovačkog s</w:t>
      </w:r>
      <w:r w:rsidR="00AB5DC2" w:rsidRPr="009242A8">
        <w:rPr>
          <w:szCs w:val="24"/>
        </w:rPr>
        <w:t>uda u Splitu za razdoblje 2023.-</w:t>
      </w:r>
      <w:r w:rsidRPr="009242A8">
        <w:rPr>
          <w:szCs w:val="24"/>
        </w:rPr>
        <w:t>2025. sastoji se od plana za proračunsku godinu i projekcija za slijedeće dvije godine.</w:t>
      </w:r>
    </w:p>
    <w:p w14:paraId="34F2FF79" w14:textId="77777777" w:rsidR="00AB5DC2" w:rsidRPr="009242A8" w:rsidRDefault="00AB5DC2" w:rsidP="00AB5DC2">
      <w:pPr>
        <w:pStyle w:val="Bezproreda"/>
        <w:jc w:val="both"/>
        <w:rPr>
          <w:szCs w:val="24"/>
        </w:rPr>
      </w:pPr>
    </w:p>
    <w:p w14:paraId="3AB4D28F" w14:textId="77777777" w:rsidR="000F4842" w:rsidRPr="009242A8" w:rsidRDefault="000F4842" w:rsidP="00AB5DC2">
      <w:pPr>
        <w:pStyle w:val="Bezproreda"/>
        <w:ind w:firstLine="360"/>
        <w:jc w:val="both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Prihodi i rashodi u financijskom planu proračunskog korisnika iskazuju se isključivo po gotovinskom načelu.</w:t>
      </w:r>
    </w:p>
    <w:p w14:paraId="13D5CF1F" w14:textId="77777777" w:rsidR="004D714A" w:rsidRPr="009242A8" w:rsidRDefault="004D714A" w:rsidP="004D714A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16692755" w14:textId="481BF937" w:rsidR="00DE08AE" w:rsidRPr="009242A8" w:rsidRDefault="00B729C0" w:rsidP="00AB5DC2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  <w:r w:rsidRPr="009242A8">
        <w:rPr>
          <w:rFonts w:eastAsiaTheme="minorHAnsi"/>
          <w:i/>
          <w:szCs w:val="24"/>
        </w:rPr>
        <w:t>Sažetak djelokruga rada Trgovačkog suda u Splitu</w:t>
      </w:r>
    </w:p>
    <w:p w14:paraId="5B169FD9" w14:textId="6A222C12" w:rsidR="0094701D" w:rsidRPr="009242A8" w:rsidRDefault="0094701D" w:rsidP="00DE08AE">
      <w:pPr>
        <w:shd w:val="clear" w:color="auto" w:fill="FFFFFF"/>
        <w:ind w:firstLine="360"/>
        <w:jc w:val="both"/>
        <w:rPr>
          <w:color w:val="000000"/>
          <w:szCs w:val="24"/>
        </w:rPr>
      </w:pPr>
      <w:r w:rsidRPr="009242A8">
        <w:rPr>
          <w:color w:val="000000"/>
          <w:szCs w:val="24"/>
        </w:rPr>
        <w:t>Trgovački sud u Splitu je specijaliziran sud, koji  pre</w:t>
      </w:r>
      <w:r w:rsidR="00AB5DC2" w:rsidRPr="009242A8">
        <w:rPr>
          <w:color w:val="000000"/>
          <w:szCs w:val="24"/>
        </w:rPr>
        <w:t>ma Zakonu o sudovima (NN 28/13-60</w:t>
      </w:r>
      <w:r w:rsidRPr="009242A8">
        <w:rPr>
          <w:color w:val="000000"/>
          <w:szCs w:val="24"/>
        </w:rPr>
        <w:t>/</w:t>
      </w:r>
      <w:r w:rsidR="00AB5DC2" w:rsidRPr="009242A8">
        <w:rPr>
          <w:color w:val="000000"/>
          <w:szCs w:val="24"/>
        </w:rPr>
        <w:t>22</w:t>
      </w:r>
      <w:r w:rsidRPr="009242A8">
        <w:rPr>
          <w:color w:val="000000"/>
          <w:szCs w:val="24"/>
        </w:rPr>
        <w:t>)</w:t>
      </w:r>
    </w:p>
    <w:p w14:paraId="0DFF3BF9" w14:textId="663F32D8" w:rsidR="0094701D" w:rsidRPr="009242A8" w:rsidRDefault="0094701D" w:rsidP="000B5F8E">
      <w:pPr>
        <w:pStyle w:val="Odlomakpopisa"/>
        <w:numPr>
          <w:ilvl w:val="0"/>
          <w:numId w:val="9"/>
        </w:numPr>
        <w:shd w:val="clear" w:color="auto" w:fill="FFFFFF"/>
        <w:rPr>
          <w:szCs w:val="24"/>
          <w:shd w:val="clear" w:color="auto" w:fill="FFFFFF"/>
        </w:rPr>
      </w:pPr>
      <w:r w:rsidRPr="009242A8">
        <w:rPr>
          <w:szCs w:val="24"/>
          <w:shd w:val="clear" w:color="auto" w:fill="FFFFFF"/>
        </w:rPr>
        <w:t>odlučuje u parničnim i izvanparničnim stvarima kada je to propisano posebnim zakonom,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2. postupa u registarskim stvarima i vodi sudske registre,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3. odlučuje o prijedlozima u svezi s osnivanjem, radom i prestankom trgovačkog društva,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 xml:space="preserve">4. odlučuje o prijedlozima za otvaranje stečajnog postupka i provodi </w:t>
      </w:r>
      <w:proofErr w:type="spellStart"/>
      <w:r w:rsidRPr="009242A8">
        <w:rPr>
          <w:szCs w:val="24"/>
          <w:shd w:val="clear" w:color="auto" w:fill="FFFFFF"/>
        </w:rPr>
        <w:t>predstečajne</w:t>
      </w:r>
      <w:proofErr w:type="spellEnd"/>
      <w:r w:rsidRPr="009242A8">
        <w:rPr>
          <w:szCs w:val="24"/>
          <w:shd w:val="clear" w:color="auto" w:fill="FFFFFF"/>
        </w:rPr>
        <w:t xml:space="preserve"> i stečajne postupke,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5. odlučuje o upisima u upisnik brodova i jahti u onim stvarima koje su Pomorskim zakonikom stavljene u nadležnost trgovačkog suda, ograničenju odgovornosti brodara, prigovorima protiv konačne diobene osnove za likvidaciju zajedničke havarije, ako zakonom za pojedinu vrstu predmeta nije drukčije određeno,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6. provodi postupak priznanja inozemnih sudskih odluka, kao i arbitražnih odluka u trgovačkim sporovima,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7. provodi osiguranje dokaza za postupke za koje su inače nadležni,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 xml:space="preserve">8. određuju mjere osiguranja u postupcima i povodom postupaka u kojima su inače </w:t>
      </w:r>
      <w:r w:rsidRPr="009242A8">
        <w:rPr>
          <w:szCs w:val="24"/>
          <w:shd w:val="clear" w:color="auto" w:fill="FFFFFF"/>
        </w:rPr>
        <w:lastRenderedPageBreak/>
        <w:t>nadležni,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9. obavlja poslove međunarodne pravne pomoći u izvođenju dokaza u trgovačkim stvarima,</w:t>
      </w:r>
      <w:r w:rsidRPr="009242A8">
        <w:rPr>
          <w:szCs w:val="24"/>
        </w:rPr>
        <w:br/>
      </w:r>
      <w:r w:rsidRPr="009242A8">
        <w:rPr>
          <w:szCs w:val="24"/>
          <w:shd w:val="clear" w:color="auto" w:fill="FFFFFF"/>
        </w:rPr>
        <w:t>10. obavlja i druge poslove određene zakonom.</w:t>
      </w:r>
    </w:p>
    <w:p w14:paraId="20974502" w14:textId="382602E7" w:rsidR="000B5F8E" w:rsidRPr="009242A8" w:rsidRDefault="000B5F8E" w:rsidP="000B5F8E">
      <w:pPr>
        <w:shd w:val="clear" w:color="auto" w:fill="FFFFFF"/>
        <w:rPr>
          <w:szCs w:val="24"/>
        </w:rPr>
      </w:pPr>
    </w:p>
    <w:p w14:paraId="254A2E16" w14:textId="29D6D77D" w:rsidR="000B5F8E" w:rsidRPr="009242A8" w:rsidRDefault="000B5F8E" w:rsidP="000B5F8E">
      <w:pPr>
        <w:shd w:val="clear" w:color="auto" w:fill="FFFFFF"/>
        <w:rPr>
          <w:szCs w:val="24"/>
        </w:rPr>
      </w:pPr>
    </w:p>
    <w:p w14:paraId="3215938E" w14:textId="00CA6A75" w:rsidR="000B5F8E" w:rsidRPr="009242A8" w:rsidRDefault="000B5F8E" w:rsidP="000B5F8E">
      <w:pPr>
        <w:shd w:val="clear" w:color="auto" w:fill="FFFFFF"/>
        <w:rPr>
          <w:szCs w:val="24"/>
        </w:rPr>
      </w:pPr>
    </w:p>
    <w:p w14:paraId="11E354FC" w14:textId="52B8FC0A" w:rsidR="000B5F8E" w:rsidRPr="009242A8" w:rsidRDefault="000B5F8E" w:rsidP="00227021">
      <w:pPr>
        <w:pStyle w:val="Odlomakpopisa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r w:rsidRPr="009242A8">
        <w:rPr>
          <w:rFonts w:eastAsiaTheme="minorHAnsi"/>
          <w:b/>
          <w:i/>
          <w:szCs w:val="24"/>
        </w:rPr>
        <w:t>Prihodi i primici</w:t>
      </w:r>
    </w:p>
    <w:p w14:paraId="1DA9FD87" w14:textId="14BEB2A5" w:rsidR="009242A8" w:rsidRPr="009242A8" w:rsidRDefault="009242A8" w:rsidP="009242A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</w:p>
    <w:p w14:paraId="6A0F529F" w14:textId="77777777" w:rsidR="009242A8" w:rsidRPr="009242A8" w:rsidRDefault="009242A8" w:rsidP="009242A8">
      <w:pPr>
        <w:ind w:firstLine="708"/>
        <w:jc w:val="both"/>
        <w:rPr>
          <w:szCs w:val="24"/>
        </w:rPr>
      </w:pPr>
      <w:r w:rsidRPr="009242A8">
        <w:rPr>
          <w:szCs w:val="24"/>
        </w:rPr>
        <w:t>Prihodi se priznaju u izvještajnom razdoblju u kojem su postali raspoloživi i pod uvjetom da se mogu izmjeriti.</w:t>
      </w:r>
    </w:p>
    <w:p w14:paraId="59400AD5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08EC6B91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Izvori financiranja:</w:t>
      </w:r>
    </w:p>
    <w:p w14:paraId="70E75983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-11 - opći prihodi i primici (račun 671)-99,94% ukupnog prihoda 2023.</w:t>
      </w:r>
    </w:p>
    <w:p w14:paraId="7661ED80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-31 - vlastiti prihodi (račun 661)-0,051% ukupnog prihoda 2023.</w:t>
      </w:r>
    </w:p>
    <w:p w14:paraId="25E12B88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-43 – ostali prihodi za posebne namjene (račun 652) – 0,009 ukupnog prihoda 2023.</w:t>
      </w:r>
    </w:p>
    <w:p w14:paraId="4A4FC6C3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7189162E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  <w:r w:rsidRPr="009242A8">
        <w:rPr>
          <w:rFonts w:eastAsiaTheme="minorHAnsi"/>
          <w:i/>
          <w:szCs w:val="24"/>
        </w:rPr>
        <w:t>Plan prihoda i primitaka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200"/>
        <w:gridCol w:w="2000"/>
        <w:gridCol w:w="1800"/>
        <w:gridCol w:w="1763"/>
      </w:tblGrid>
      <w:tr w:rsidR="000B5F8E" w:rsidRPr="009242A8" w14:paraId="180BCB51" w14:textId="77777777" w:rsidTr="00AC3FA5">
        <w:trPr>
          <w:trHeight w:val="799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FC4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VRSTA PRIHODA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230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PRIJEDLOG PRORAČUNA ZA 2023</w:t>
            </w:r>
          </w:p>
          <w:p w14:paraId="005CF911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U EUR-ima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B8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PROJEKCIJA  PRORAČUNA ZA 2024.U EUR-IMA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071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PROJEKCIJA  PRORAČUNA ZA 2025.U EUR-IMA</w:t>
            </w:r>
          </w:p>
        </w:tc>
      </w:tr>
      <w:tr w:rsidR="000B5F8E" w:rsidRPr="009242A8" w14:paraId="11B0C1F2" w14:textId="77777777" w:rsidTr="00AC3FA5">
        <w:trPr>
          <w:trHeight w:val="517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98AD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EBCE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1833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8389D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</w:tr>
      <w:tr w:rsidR="000B5F8E" w:rsidRPr="009242A8" w14:paraId="46513C0F" w14:textId="77777777" w:rsidTr="00AC3FA5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50D0B66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OPĆI PRIHODI I PRIMICI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07B2185" w14:textId="4F542C93" w:rsidR="000B5F8E" w:rsidRPr="009242A8" w:rsidRDefault="000B5F8E" w:rsidP="00A6632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1.546.72</w:t>
            </w:r>
            <w:r w:rsidR="00A6632E">
              <w:rPr>
                <w:b/>
                <w:bCs/>
                <w:szCs w:val="24"/>
                <w:lang w:eastAsia="hr-H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EC1C083" w14:textId="441B04DA" w:rsidR="000B5F8E" w:rsidRPr="009242A8" w:rsidRDefault="000B5F8E" w:rsidP="00A6632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1.631.47</w:t>
            </w:r>
            <w:r w:rsidR="00A6632E">
              <w:rPr>
                <w:b/>
                <w:bCs/>
                <w:szCs w:val="24"/>
                <w:lang w:eastAsia="hr-H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A032938" w14:textId="22BD3017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1.628.15</w:t>
            </w:r>
            <w:r w:rsidR="001A385E">
              <w:rPr>
                <w:b/>
                <w:bCs/>
                <w:szCs w:val="24"/>
                <w:lang w:eastAsia="hr-HR"/>
              </w:rPr>
              <w:t>5</w:t>
            </w:r>
          </w:p>
        </w:tc>
      </w:tr>
      <w:tr w:rsidR="000B5F8E" w:rsidRPr="009242A8" w14:paraId="49E0D074" w14:textId="77777777" w:rsidTr="00AC3FA5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579E8D0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 xml:space="preserve">                               VLASTITI PRIHODI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E5337B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F4A6D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B13F94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796</w:t>
            </w:r>
          </w:p>
        </w:tc>
      </w:tr>
      <w:tr w:rsidR="000B5F8E" w:rsidRPr="009242A8" w14:paraId="0BCFC428" w14:textId="77777777" w:rsidTr="00AC3FA5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14:paraId="50A9DB1D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OSTALI  PRIHODI ZA POSEBNE NAMJENE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F47D3B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19291DD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EF2987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133</w:t>
            </w:r>
          </w:p>
        </w:tc>
      </w:tr>
      <w:tr w:rsidR="000B5F8E" w:rsidRPr="009242A8" w14:paraId="509C4E44" w14:textId="77777777" w:rsidTr="00AC3FA5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CA4EB7A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UKUPNO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EA82F6" w14:textId="6621E08A" w:rsidR="000B5F8E" w:rsidRPr="009242A8" w:rsidRDefault="000B5F8E" w:rsidP="00A6632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1.547.65</w:t>
            </w:r>
            <w:r w:rsidR="00A6632E">
              <w:rPr>
                <w:b/>
                <w:bCs/>
                <w:szCs w:val="24"/>
                <w:lang w:eastAsia="hr-H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ED076" w14:textId="3E6506A7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1.632.40</w:t>
            </w:r>
            <w:r w:rsidR="001A385E">
              <w:rPr>
                <w:b/>
                <w:bCs/>
                <w:szCs w:val="24"/>
                <w:lang w:eastAsia="hr-H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802870" w14:textId="1DF21F76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1.629.08</w:t>
            </w:r>
            <w:r w:rsidR="001A385E">
              <w:rPr>
                <w:b/>
                <w:bCs/>
                <w:szCs w:val="24"/>
                <w:lang w:eastAsia="hr-HR"/>
              </w:rPr>
              <w:t>4</w:t>
            </w:r>
          </w:p>
        </w:tc>
      </w:tr>
    </w:tbl>
    <w:p w14:paraId="17737107" w14:textId="58312382" w:rsidR="000B5F8E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42C3E9B7" w14:textId="6327EE91" w:rsidR="000B5F8E" w:rsidRPr="009242A8" w:rsidRDefault="00E66CCE" w:rsidP="00E66CCE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szCs w:val="24"/>
        </w:rPr>
      </w:pPr>
      <w:r w:rsidRPr="00E66CCE">
        <w:rPr>
          <w:color w:val="231F20"/>
          <w:shd w:val="clear" w:color="auto" w:fill="FFFFFF"/>
        </w:rPr>
        <w:t xml:space="preserve">Opći prihodi i primici obuhvaćaju  prihode koje  ostvarujemo iz nadležnog proračuna za </w:t>
      </w:r>
      <w:r>
        <w:t xml:space="preserve">financiranje redovne djelatnosti – vođenje </w:t>
      </w:r>
      <w:r w:rsidRPr="00E66CCE">
        <w:rPr>
          <w:rFonts w:eastAsiaTheme="minorHAnsi"/>
          <w:iCs/>
          <w:szCs w:val="24"/>
        </w:rPr>
        <w:t>sudskih postupaka</w:t>
      </w:r>
      <w:r>
        <w:rPr>
          <w:rFonts w:eastAsiaTheme="minorHAnsi"/>
          <w:iCs/>
          <w:szCs w:val="24"/>
        </w:rPr>
        <w:t xml:space="preserve"> iz nadležnosti </w:t>
      </w:r>
      <w:proofErr w:type="spellStart"/>
      <w:r>
        <w:rPr>
          <w:rFonts w:eastAsiaTheme="minorHAnsi"/>
          <w:iCs/>
          <w:szCs w:val="24"/>
        </w:rPr>
        <w:t>trgovačkih</w:t>
      </w:r>
      <w:r w:rsidRPr="00E66CCE">
        <w:rPr>
          <w:rFonts w:eastAsiaTheme="minorHAnsi"/>
          <w:iCs/>
          <w:szCs w:val="24"/>
        </w:rPr>
        <w:t>sudova</w:t>
      </w:r>
      <w:proofErr w:type="spellEnd"/>
      <w:r w:rsidRPr="00E66CCE">
        <w:rPr>
          <w:rFonts w:eastAsiaTheme="minorHAnsi"/>
          <w:iCs/>
          <w:szCs w:val="24"/>
        </w:rPr>
        <w:t xml:space="preserve"> ( A 639000).</w:t>
      </w:r>
    </w:p>
    <w:p w14:paraId="47D44FE0" w14:textId="050D5794" w:rsidR="00383486" w:rsidRPr="00383486" w:rsidRDefault="007D7CC0" w:rsidP="00383486">
      <w:pPr>
        <w:ind w:firstLine="708"/>
        <w:jc w:val="both"/>
        <w:rPr>
          <w:color w:val="000000"/>
        </w:rPr>
      </w:pPr>
      <w:r>
        <w:rPr>
          <w:szCs w:val="24"/>
        </w:rPr>
        <w:t xml:space="preserve">Vlastiti prihodi odnose se na prihode od fotokopiranja i najam prostora za postavljanje </w:t>
      </w:r>
      <w:proofErr w:type="spellStart"/>
      <w:r>
        <w:rPr>
          <w:szCs w:val="24"/>
        </w:rPr>
        <w:t>samouslužnog</w:t>
      </w:r>
      <w:proofErr w:type="spellEnd"/>
      <w:r>
        <w:rPr>
          <w:szCs w:val="24"/>
        </w:rPr>
        <w:t xml:space="preserve"> aparata. Planiramo ostvariti vlastite prihode 2023. od 796 EUR, projekcija 2024.i 2025.je ista i iznosi 796 EUR. </w:t>
      </w:r>
      <w:r w:rsidR="00383486">
        <w:t xml:space="preserve">Navedeni </w:t>
      </w:r>
      <w:r w:rsidR="00383486" w:rsidRPr="00383486">
        <w:t xml:space="preserve">prihodi se uplaćuju u državni proračun najmanje jednom godišnje, te se koriste za podmirenje materijalnih rashoda </w:t>
      </w:r>
      <w:r w:rsidR="00383486" w:rsidRPr="00383486">
        <w:rPr>
          <w:color w:val="000000"/>
        </w:rPr>
        <w:t>prema odobrenom financijskom planu nadležnog ministarstva.</w:t>
      </w:r>
      <w:r w:rsidR="00E66CCE">
        <w:rPr>
          <w:color w:val="000000"/>
        </w:rPr>
        <w:t xml:space="preserve"> Planirali smo podmiriti slijedeće materijalne rashode: </w:t>
      </w:r>
      <w:r w:rsidR="00383486">
        <w:rPr>
          <w:color w:val="000000"/>
        </w:rPr>
        <w:t xml:space="preserve"> </w:t>
      </w:r>
      <w:r w:rsidR="00383486" w:rsidRPr="00383486">
        <w:t>u</w:t>
      </w:r>
      <w:r w:rsidR="00383486" w:rsidRPr="00383486">
        <w:rPr>
          <w:color w:val="000000"/>
        </w:rPr>
        <w:t>redski materijal i ostali materijalni rashodi, usluge tekućeg i investicijskog održavanja, zakupnine i najamnine, reprezentacija i ostali</w:t>
      </w:r>
      <w:r w:rsidR="00E66CCE">
        <w:rPr>
          <w:color w:val="000000"/>
        </w:rPr>
        <w:t xml:space="preserve"> nespomenuti rashodi poslovanja.</w:t>
      </w:r>
    </w:p>
    <w:p w14:paraId="76E90C18" w14:textId="61B71603" w:rsidR="009242A8" w:rsidRPr="00383486" w:rsidRDefault="009242A8" w:rsidP="00383486">
      <w:pPr>
        <w:jc w:val="both"/>
        <w:rPr>
          <w:szCs w:val="24"/>
        </w:rPr>
      </w:pPr>
    </w:p>
    <w:p w14:paraId="4277225C" w14:textId="0DF80C9E" w:rsidR="000B5F8E" w:rsidRPr="009242A8" w:rsidRDefault="00383486" w:rsidP="000B5F8E">
      <w:pPr>
        <w:ind w:firstLine="708"/>
        <w:rPr>
          <w:szCs w:val="24"/>
        </w:rPr>
      </w:pPr>
      <w:r>
        <w:rPr>
          <w:szCs w:val="24"/>
        </w:rPr>
        <w:t xml:space="preserve">Ostali prihodi za posebne namjene odnose se na </w:t>
      </w:r>
      <w:r w:rsidRPr="009242A8">
        <w:rPr>
          <w:szCs w:val="24"/>
        </w:rPr>
        <w:t>kamate ostvarene od sredstava koja se vode na računima sudova</w:t>
      </w:r>
      <w:r>
        <w:rPr>
          <w:szCs w:val="24"/>
        </w:rPr>
        <w:t>.</w:t>
      </w:r>
      <w:r w:rsidR="00E66CCE">
        <w:rPr>
          <w:szCs w:val="24"/>
        </w:rPr>
        <w:t xml:space="preserve"> Planirali smo od ostvarenih prihoda podmiriti usluge telefona, pošte i prijevoza. </w:t>
      </w:r>
      <w:r w:rsidR="000B5F8E" w:rsidRPr="009242A8">
        <w:rPr>
          <w:szCs w:val="24"/>
        </w:rPr>
        <w:t xml:space="preserve">U 2022.godini uplaćeno je od 300.961,87 HRK ostalih prihoda za posebne </w:t>
      </w:r>
      <w:r w:rsidR="000B5F8E" w:rsidRPr="009242A8">
        <w:rPr>
          <w:szCs w:val="24"/>
        </w:rPr>
        <w:lastRenderedPageBreak/>
        <w:t>namjene. Planiramo do kraja ove godine sredstva povući iz proračuna te ih koristiti za tekuće i investicijsko održavanje.</w:t>
      </w:r>
    </w:p>
    <w:p w14:paraId="7062C2FF" w14:textId="17DFAF32" w:rsidR="000B5F8E" w:rsidRPr="009242A8" w:rsidRDefault="000B5F8E" w:rsidP="000B5F8E">
      <w:pPr>
        <w:shd w:val="clear" w:color="auto" w:fill="FFFFFF"/>
        <w:rPr>
          <w:szCs w:val="24"/>
        </w:rPr>
      </w:pPr>
    </w:p>
    <w:p w14:paraId="5FA76E0A" w14:textId="35356CC5" w:rsidR="000B5F8E" w:rsidRPr="009242A8" w:rsidRDefault="000B5F8E" w:rsidP="000B5F8E">
      <w:pPr>
        <w:shd w:val="clear" w:color="auto" w:fill="FFFFFF"/>
        <w:rPr>
          <w:szCs w:val="24"/>
        </w:rPr>
      </w:pPr>
    </w:p>
    <w:p w14:paraId="5D9A9410" w14:textId="0E2F0321" w:rsidR="000B5F8E" w:rsidRPr="009242A8" w:rsidRDefault="000B5F8E" w:rsidP="000B5F8E">
      <w:pPr>
        <w:shd w:val="clear" w:color="auto" w:fill="FFFFFF"/>
        <w:rPr>
          <w:szCs w:val="24"/>
        </w:rPr>
      </w:pPr>
    </w:p>
    <w:p w14:paraId="7BA332C1" w14:textId="41F7BF86" w:rsidR="000B5F8E" w:rsidRDefault="000B5F8E" w:rsidP="00227021">
      <w:pPr>
        <w:pStyle w:val="Odlomakpopisa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r w:rsidRPr="009242A8">
        <w:rPr>
          <w:rFonts w:eastAsiaTheme="minorHAnsi"/>
          <w:b/>
          <w:i/>
          <w:szCs w:val="24"/>
        </w:rPr>
        <w:t>Rashodi i izdaci</w:t>
      </w:r>
    </w:p>
    <w:p w14:paraId="587B472D" w14:textId="77777777" w:rsidR="001A2A12" w:rsidRPr="009242A8" w:rsidRDefault="001A2A12" w:rsidP="001A2A12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b/>
          <w:i/>
          <w:szCs w:val="24"/>
        </w:rPr>
      </w:pPr>
    </w:p>
    <w:p w14:paraId="1B2728D7" w14:textId="485675AE" w:rsidR="00227021" w:rsidRPr="009242A8" w:rsidRDefault="00227021" w:rsidP="00227021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i/>
          <w:szCs w:val="24"/>
        </w:rPr>
      </w:pPr>
    </w:p>
    <w:p w14:paraId="3EDF0DC6" w14:textId="759CCB10" w:rsidR="000B5F8E" w:rsidRPr="009242A8" w:rsidRDefault="00227021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  <w:r w:rsidRPr="009242A8">
        <w:rPr>
          <w:rFonts w:eastAsiaTheme="minorHAnsi"/>
          <w:i/>
          <w:szCs w:val="24"/>
        </w:rPr>
        <w:t xml:space="preserve"> </w:t>
      </w:r>
      <w:r w:rsidR="000B5F8E" w:rsidRPr="009242A8">
        <w:rPr>
          <w:rFonts w:eastAsiaTheme="minorHAnsi"/>
          <w:i/>
          <w:szCs w:val="24"/>
        </w:rPr>
        <w:t>Plan rashoda i izdataka</w:t>
      </w:r>
    </w:p>
    <w:p w14:paraId="0E2041EB" w14:textId="77777777" w:rsidR="000B5F8E" w:rsidRPr="009242A8" w:rsidRDefault="000B5F8E" w:rsidP="000B5F8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456"/>
        <w:gridCol w:w="2708"/>
        <w:gridCol w:w="1763"/>
        <w:gridCol w:w="1763"/>
        <w:gridCol w:w="1763"/>
      </w:tblGrid>
      <w:tr w:rsidR="000B5F8E" w:rsidRPr="009242A8" w14:paraId="0B718C43" w14:textId="77777777" w:rsidTr="00AC3FA5">
        <w:trPr>
          <w:trHeight w:val="360"/>
        </w:trPr>
        <w:tc>
          <w:tcPr>
            <w:tcW w:w="3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97C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VRSTA RASHODA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A5F6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PRIJEDLOG PRORAČUNA ZA 2023</w:t>
            </w:r>
          </w:p>
          <w:p w14:paraId="50BC85F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U EUR-ima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260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PROJEKCIJA  PRORAČUNA ZA 2024.U EUR-IMA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C2EB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PROJEKCIJA  PRORAČUNA ZA 2025.U EUR-IMA</w:t>
            </w:r>
          </w:p>
        </w:tc>
      </w:tr>
      <w:tr w:rsidR="000B5F8E" w:rsidRPr="009242A8" w14:paraId="220126B0" w14:textId="77777777" w:rsidTr="00AC3FA5">
        <w:trPr>
          <w:trHeight w:val="517"/>
        </w:trPr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EA67B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2BF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867F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576F4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0B5F8E" w:rsidRPr="009242A8" w14:paraId="5F2F8698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3602A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11B7C3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C3728E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1.357.091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F0E8CB4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1.421.217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3C388412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1.433.539</w:t>
            </w:r>
          </w:p>
        </w:tc>
      </w:tr>
      <w:tr w:rsidR="000B5F8E" w:rsidRPr="009242A8" w14:paraId="75E4AE9C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4B702D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1B4AF6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178653" w14:textId="415D04CE" w:rsidR="000B5F8E" w:rsidRPr="009242A8" w:rsidRDefault="001A385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Cs w:val="24"/>
                <w:lang w:eastAsia="hr-HR"/>
              </w:rPr>
              <w:t>183.313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88F883" w14:textId="53DFC365" w:rsidR="000B5F8E" w:rsidRPr="009242A8" w:rsidRDefault="001A385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Cs w:val="24"/>
                <w:lang w:eastAsia="hr-HR"/>
              </w:rPr>
              <w:t>203.784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B2BC0A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188.028</w:t>
            </w:r>
          </w:p>
        </w:tc>
      </w:tr>
      <w:tr w:rsidR="000B5F8E" w:rsidRPr="009242A8" w14:paraId="015A13E9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0B94D9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5A448B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0437B3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AD9B880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87E49D" w14:textId="71E701C0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98</w:t>
            </w:r>
            <w:r w:rsidR="001A385E">
              <w:rPr>
                <w:b/>
                <w:bCs/>
                <w:color w:val="000000"/>
                <w:szCs w:val="24"/>
                <w:lang w:eastAsia="hr-HR"/>
              </w:rPr>
              <w:t>0</w:t>
            </w:r>
          </w:p>
        </w:tc>
      </w:tr>
      <w:tr w:rsidR="000B5F8E" w:rsidRPr="009242A8" w14:paraId="04827D98" w14:textId="77777777" w:rsidTr="00AC3FA5">
        <w:trPr>
          <w:trHeight w:val="55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BA7FF2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8CB70DC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B5765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4.013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8AFB2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4.144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D2869A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4.281</w:t>
            </w:r>
          </w:p>
        </w:tc>
      </w:tr>
      <w:tr w:rsidR="000B5F8E" w:rsidRPr="009242A8" w14:paraId="2E84FAF6" w14:textId="77777777" w:rsidTr="00AC3FA5">
        <w:trPr>
          <w:trHeight w:val="55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18D3D1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C82A7BF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RASHODI ZA DODATNA ULAGANJA NA NEFINANCIJSKOJ IMOVINI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B6A2923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B8DE4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355830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1.327</w:t>
            </w:r>
          </w:p>
        </w:tc>
      </w:tr>
      <w:tr w:rsidR="000B5F8E" w:rsidRPr="009242A8" w14:paraId="79D31F1E" w14:textId="77777777" w:rsidTr="00AC3FA5"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E9C7AD2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IZVOR FINANC.11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1420A0C2" w14:textId="5CA732E6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1.546.72</w:t>
            </w:r>
            <w:r w:rsidR="001A385E">
              <w:rPr>
                <w:b/>
                <w:bCs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42C3FD7B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1.631.475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73E02AB4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1.628.156</w:t>
            </w:r>
          </w:p>
        </w:tc>
      </w:tr>
      <w:tr w:rsidR="000B5F8E" w:rsidRPr="009242A8" w14:paraId="641139AB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335DB91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2D9340B6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526624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2C9527AB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711F97D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</w:tr>
      <w:tr w:rsidR="000B5F8E" w:rsidRPr="009242A8" w14:paraId="42922565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3DE4D3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245B0CC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IZVOR FINANC.31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469C25DA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6F64E852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0D31979D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</w:tr>
      <w:tr w:rsidR="000B5F8E" w:rsidRPr="009242A8" w14:paraId="50AE4917" w14:textId="77777777" w:rsidTr="00AC3FA5">
        <w:trPr>
          <w:trHeight w:val="31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B178D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75D88C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016A3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  <w:p w14:paraId="7754CDBE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0B65E557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5F1C030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</w:tr>
      <w:tr w:rsidR="000B5F8E" w:rsidRPr="009242A8" w14:paraId="3299838C" w14:textId="77777777" w:rsidTr="00AC3FA5"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936CDB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IZVOR FINANC.43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568002C9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07F7B02A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442DF840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</w:tr>
      <w:tr w:rsidR="000B5F8E" w:rsidRPr="009242A8" w14:paraId="0D3F6C39" w14:textId="77777777" w:rsidTr="00AC3FA5"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6585299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45658F06" w14:textId="6FB10D66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1.547.65</w:t>
            </w:r>
            <w:r w:rsidR="001A385E">
              <w:rPr>
                <w:b/>
                <w:bCs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642CB20B" w14:textId="4CC86F02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</w:t>
            </w:r>
            <w:r w:rsidR="001A385E">
              <w:rPr>
                <w:b/>
                <w:bCs/>
                <w:szCs w:val="24"/>
                <w:lang w:eastAsia="hr-HR"/>
              </w:rPr>
              <w:t>.632.406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1B73A2C" w14:textId="286042CD" w:rsidR="000B5F8E" w:rsidRPr="009242A8" w:rsidRDefault="000B5F8E" w:rsidP="001A38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1.629.08</w:t>
            </w:r>
            <w:r w:rsidR="001A385E">
              <w:rPr>
                <w:b/>
                <w:bCs/>
                <w:szCs w:val="24"/>
                <w:lang w:eastAsia="hr-HR"/>
              </w:rPr>
              <w:t>4</w:t>
            </w:r>
          </w:p>
        </w:tc>
      </w:tr>
    </w:tbl>
    <w:p w14:paraId="55279010" w14:textId="77777777" w:rsidR="000B5F8E" w:rsidRPr="009242A8" w:rsidRDefault="000B5F8E" w:rsidP="000B5F8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69CE88FB" w14:textId="5F5CC837" w:rsidR="000B5F8E" w:rsidRPr="009242A8" w:rsidRDefault="000B5F8E" w:rsidP="000B5F8E">
      <w:pPr>
        <w:ind w:firstLine="708"/>
        <w:jc w:val="both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Rashodi za zaposlene i ostale rashode za zaposlene planirali smo prema stvarnim potrebama, sukladno Pravilniku o unutarnjem redu, Zakonu o plaćama sudaca i drugih pravosudnih dužnosnika, Uredbi o nazivima radnih mjesta i koeficijenata složenosti poslova u državnoj službi, Kolektivnim ugovorom za državne službenike i namještenike.</w:t>
      </w:r>
      <w:r w:rsidR="00610027">
        <w:rPr>
          <w:rFonts w:eastAsiaTheme="minorHAnsi"/>
          <w:szCs w:val="24"/>
        </w:rPr>
        <w:t xml:space="preserve"> U izračun za plaće uključena su nova zapošljavanja sukladno odobrenju nadležnog ministarstva. </w:t>
      </w:r>
    </w:p>
    <w:p w14:paraId="3369F6DA" w14:textId="77777777" w:rsidR="000B5F8E" w:rsidRPr="009242A8" w:rsidRDefault="000B5F8E" w:rsidP="000B5F8E">
      <w:pPr>
        <w:ind w:firstLine="708"/>
        <w:jc w:val="both"/>
        <w:rPr>
          <w:szCs w:val="24"/>
        </w:rPr>
      </w:pPr>
    </w:p>
    <w:p w14:paraId="35141954" w14:textId="77777777" w:rsidR="001A2A12" w:rsidRDefault="001A2A12" w:rsidP="00610027">
      <w:pPr>
        <w:ind w:firstLine="708"/>
        <w:jc w:val="both"/>
        <w:rPr>
          <w:szCs w:val="24"/>
        </w:rPr>
      </w:pPr>
    </w:p>
    <w:p w14:paraId="644EA491" w14:textId="77777777" w:rsidR="001A2A12" w:rsidRDefault="001A2A12" w:rsidP="00610027">
      <w:pPr>
        <w:ind w:firstLine="708"/>
        <w:jc w:val="both"/>
        <w:rPr>
          <w:szCs w:val="24"/>
        </w:rPr>
      </w:pPr>
    </w:p>
    <w:p w14:paraId="66C0F663" w14:textId="5F1C8607" w:rsidR="00610027" w:rsidRPr="009242A8" w:rsidRDefault="000B5F8E" w:rsidP="00610027">
      <w:pPr>
        <w:ind w:firstLine="708"/>
        <w:jc w:val="both"/>
        <w:rPr>
          <w:szCs w:val="24"/>
        </w:rPr>
      </w:pPr>
      <w:r w:rsidRPr="009242A8">
        <w:rPr>
          <w:szCs w:val="24"/>
        </w:rPr>
        <w:t>Očekuje se digitalizacija (skeniranje) zbirke isprava Sudskog registra, pa će se u tom slučaju ukazati potreba za prekovremenim radom ( ovaj sud ima veliki broj zbirki isprava cca 40.000). Planirana su sredstva i za dodatna ulaganja na građevinskim objektima, koja se izvode izvan radnog vremena i subotom, te radi kontrole i nadgledanja rada izvođača javlja se potreba za  prekovremenim radom službenika i namještenika. Iz naprijed navedenih  razloga za razdoblje  2023-2025. planirali smo sredstva za prekovremeni rad.</w:t>
      </w:r>
      <w:r w:rsidR="00610027" w:rsidRPr="00610027">
        <w:rPr>
          <w:szCs w:val="24"/>
        </w:rPr>
        <w:t xml:space="preserve"> </w:t>
      </w:r>
      <w:r w:rsidR="00610027">
        <w:rPr>
          <w:szCs w:val="24"/>
        </w:rPr>
        <w:t>Ostali rashodi za zaposlene i naknade za prijevoz na posao i s posla planirali smo prema stvarnim potrebama sukladno Kolektivnim ugovorom za državne službenike i namještenike. Prema</w:t>
      </w:r>
      <w:r w:rsidR="00610027" w:rsidRPr="00610027">
        <w:t xml:space="preserve"> </w:t>
      </w:r>
      <w:r w:rsidR="00610027" w:rsidRPr="00610027">
        <w:rPr>
          <w:szCs w:val="24"/>
        </w:rPr>
        <w:t>Zaključku u vezi s izmjenom Pravilnika o porezu na dohodak (NN br.140/22.) najavljena su povećanja neoporezivih primitaka kao što su dar djetetu do 15 godina starosti i prigodne nagrade, no mi smo obračun ostalih rashoda za zaposlene izračunali prema trenutno važećim iznosima. Planirana sredstva za 2023.iznose 45.125,75 EUR.</w:t>
      </w:r>
    </w:p>
    <w:p w14:paraId="032FD1BB" w14:textId="77777777" w:rsidR="000B5F8E" w:rsidRPr="009242A8" w:rsidRDefault="000B5F8E" w:rsidP="000B5F8E">
      <w:pPr>
        <w:ind w:firstLine="708"/>
        <w:jc w:val="both"/>
        <w:rPr>
          <w:szCs w:val="24"/>
        </w:rPr>
      </w:pPr>
    </w:p>
    <w:p w14:paraId="2B89E3E9" w14:textId="1A1741B6" w:rsidR="00610027" w:rsidRPr="009242A8" w:rsidRDefault="00610027" w:rsidP="000B5F8E">
      <w:pPr>
        <w:ind w:firstLine="708"/>
        <w:jc w:val="both"/>
        <w:rPr>
          <w:szCs w:val="24"/>
        </w:rPr>
      </w:pPr>
      <w:r>
        <w:rPr>
          <w:szCs w:val="24"/>
        </w:rPr>
        <w:t xml:space="preserve">Naknade za prijevoz na posao i s posla planirali smo prema stvarnim potrebama sukladno Kolektivnim ugovorom za državne službenike i namještenike. </w:t>
      </w:r>
      <w:r w:rsidR="004646E4">
        <w:rPr>
          <w:szCs w:val="24"/>
        </w:rPr>
        <w:t xml:space="preserve">Od materijalnih izdataka najveći iznosi iskazuju se na poziciji 3231 – poštanske usluge. </w:t>
      </w:r>
      <w:r w:rsidRPr="00610027">
        <w:rPr>
          <w:szCs w:val="24"/>
        </w:rPr>
        <w:t xml:space="preserve"> Ugovor o opskrbi </w:t>
      </w:r>
      <w:proofErr w:type="spellStart"/>
      <w:r w:rsidRPr="00610027">
        <w:rPr>
          <w:szCs w:val="24"/>
        </w:rPr>
        <w:t>el.energije</w:t>
      </w:r>
      <w:proofErr w:type="spellEnd"/>
      <w:r w:rsidRPr="00610027">
        <w:rPr>
          <w:szCs w:val="24"/>
        </w:rPr>
        <w:t xml:space="preserve"> sklopljen je u 2022.godini, nepovoljniji je od prethodnog, odnosno došlo je d</w:t>
      </w:r>
      <w:r w:rsidR="004646E4">
        <w:rPr>
          <w:szCs w:val="24"/>
        </w:rPr>
        <w:t>o poskupljenja cijena usluge.</w:t>
      </w:r>
      <w:r w:rsidRPr="00610027">
        <w:rPr>
          <w:szCs w:val="24"/>
        </w:rPr>
        <w:t xml:space="preserve"> Ukupno smo planirali sredstva na poziciji 323 - Rashodi za usluge u iznosu od </w:t>
      </w:r>
      <w:r w:rsidR="004646E4">
        <w:rPr>
          <w:szCs w:val="24"/>
        </w:rPr>
        <w:t>77.642,84 EUR.</w:t>
      </w:r>
    </w:p>
    <w:p w14:paraId="4038E733" w14:textId="77777777" w:rsidR="000B5F8E" w:rsidRPr="009242A8" w:rsidRDefault="000B5F8E" w:rsidP="000B5F8E">
      <w:pPr>
        <w:rPr>
          <w:szCs w:val="24"/>
        </w:rPr>
      </w:pPr>
    </w:p>
    <w:p w14:paraId="620A6AF0" w14:textId="77777777" w:rsidR="000B5F8E" w:rsidRPr="009242A8" w:rsidRDefault="000B5F8E" w:rsidP="000B5F8E">
      <w:pPr>
        <w:ind w:firstLine="708"/>
        <w:jc w:val="both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Plan rashoda i izdataka</w:t>
      </w:r>
    </w:p>
    <w:p w14:paraId="44B56A1B" w14:textId="77777777" w:rsidR="000B5F8E" w:rsidRPr="009242A8" w:rsidRDefault="000B5F8E" w:rsidP="000B5F8E">
      <w:pPr>
        <w:ind w:firstLine="708"/>
        <w:jc w:val="both"/>
        <w:rPr>
          <w:rFonts w:eastAsiaTheme="minorHAnsi"/>
          <w:szCs w:val="24"/>
        </w:rPr>
      </w:pPr>
    </w:p>
    <w:p w14:paraId="7EB45D61" w14:textId="77777777" w:rsidR="000B5F8E" w:rsidRPr="009242A8" w:rsidRDefault="000B5F8E" w:rsidP="000B5F8E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iCs/>
          <w:szCs w:val="24"/>
        </w:rPr>
      </w:pPr>
      <w:r w:rsidRPr="009242A8">
        <w:rPr>
          <w:rFonts w:eastAsiaTheme="minorHAnsi"/>
          <w:iCs/>
          <w:szCs w:val="24"/>
        </w:rPr>
        <w:t>Prilikom izrade financijskog plana, sukladno uputama nadležnog Ministarstva, korišteni su slijedeći limiti za materijalne i financijske rashode (izvor financiranja 11):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990"/>
        <w:gridCol w:w="1723"/>
        <w:gridCol w:w="1500"/>
        <w:gridCol w:w="1500"/>
        <w:gridCol w:w="1500"/>
      </w:tblGrid>
      <w:tr w:rsidR="000B5F8E" w:rsidRPr="009242A8" w14:paraId="696C09AA" w14:textId="77777777" w:rsidTr="00AC3FA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6F4EB1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Red.br.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2AD144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9242A8">
              <w:rPr>
                <w:b/>
                <w:bCs/>
                <w:color w:val="000000"/>
                <w:szCs w:val="24"/>
                <w:lang w:eastAsia="hr-HR"/>
              </w:rPr>
              <w:t>TRGOVAČKI SUD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E5E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2023.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DF8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2024.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53B5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2025.</w:t>
            </w:r>
          </w:p>
        </w:tc>
      </w:tr>
      <w:tr w:rsidR="000B5F8E" w:rsidRPr="009242A8" w14:paraId="455A17C5" w14:textId="77777777" w:rsidTr="00AC3FA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076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C9AC" w14:textId="77777777" w:rsidR="000B5F8E" w:rsidRPr="009242A8" w:rsidRDefault="000B5F8E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C09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LIMIT EURO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83B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LIMIT EURO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266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hr-HR"/>
              </w:rPr>
            </w:pPr>
            <w:r w:rsidRPr="009242A8">
              <w:rPr>
                <w:b/>
                <w:bCs/>
                <w:szCs w:val="24"/>
                <w:lang w:eastAsia="hr-HR"/>
              </w:rPr>
              <w:t>LIMIT EURO</w:t>
            </w:r>
          </w:p>
        </w:tc>
      </w:tr>
      <w:tr w:rsidR="000B5F8E" w:rsidRPr="009242A8" w14:paraId="5181B361" w14:textId="77777777" w:rsidTr="00AC3F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A8F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hr-HR"/>
              </w:rPr>
            </w:pPr>
            <w:r w:rsidRPr="009242A8">
              <w:rPr>
                <w:szCs w:val="24"/>
                <w:lang w:eastAsia="hr-HR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032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hr-HR"/>
              </w:rPr>
            </w:pPr>
            <w:r w:rsidRPr="009242A8">
              <w:rPr>
                <w:szCs w:val="24"/>
                <w:lang w:eastAsia="hr-HR"/>
              </w:rPr>
              <w:t>SPLIT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C9C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hr-HR"/>
              </w:rPr>
            </w:pPr>
            <w:r w:rsidRPr="009242A8">
              <w:rPr>
                <w:szCs w:val="24"/>
                <w:lang w:eastAsia="hr-HR"/>
              </w:rPr>
              <w:t>1.546.724,93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C7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hr-HR"/>
              </w:rPr>
            </w:pPr>
            <w:r w:rsidRPr="009242A8">
              <w:rPr>
                <w:szCs w:val="24"/>
                <w:lang w:eastAsia="hr-HR"/>
              </w:rPr>
              <w:t>1.631.475,08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298" w14:textId="77777777" w:rsidR="000B5F8E" w:rsidRPr="009242A8" w:rsidRDefault="000B5F8E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hr-HR"/>
              </w:rPr>
            </w:pPr>
            <w:r w:rsidRPr="009242A8">
              <w:rPr>
                <w:szCs w:val="24"/>
                <w:lang w:eastAsia="hr-HR"/>
              </w:rPr>
              <w:t>1.628.155,95</w:t>
            </w:r>
          </w:p>
        </w:tc>
      </w:tr>
    </w:tbl>
    <w:p w14:paraId="77CB78FC" w14:textId="6506DA4D" w:rsidR="000B5F8E" w:rsidRPr="009242A8" w:rsidRDefault="000B5F8E" w:rsidP="000B5F8E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i/>
          <w:szCs w:val="24"/>
        </w:rPr>
      </w:pPr>
    </w:p>
    <w:p w14:paraId="52F1BBA6" w14:textId="380C2957" w:rsidR="000B5F8E" w:rsidRDefault="000B5F8E" w:rsidP="000B5F8E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Obrazloženje plana proračuna dostavljamo u privitku (tabela-obrazloženje).</w:t>
      </w:r>
    </w:p>
    <w:p w14:paraId="459AC034" w14:textId="77777777" w:rsidR="001A2A12" w:rsidRPr="009242A8" w:rsidRDefault="001A2A12" w:rsidP="000B5F8E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i/>
          <w:szCs w:val="24"/>
        </w:rPr>
      </w:pPr>
    </w:p>
    <w:p w14:paraId="06D72637" w14:textId="5CCC5D4F" w:rsidR="000B5F8E" w:rsidRDefault="000B5F8E" w:rsidP="00227021">
      <w:pPr>
        <w:pStyle w:val="Odlomakpopisa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r w:rsidRPr="009242A8">
        <w:rPr>
          <w:rFonts w:eastAsiaTheme="minorHAnsi"/>
          <w:b/>
          <w:i/>
          <w:szCs w:val="24"/>
        </w:rPr>
        <w:t xml:space="preserve">Prijenos sredstava iz prethodne </w:t>
      </w:r>
      <w:r w:rsidR="00227021" w:rsidRPr="009242A8">
        <w:rPr>
          <w:rFonts w:eastAsiaTheme="minorHAnsi"/>
          <w:b/>
          <w:i/>
          <w:szCs w:val="24"/>
        </w:rPr>
        <w:t xml:space="preserve">i </w:t>
      </w:r>
      <w:r w:rsidRPr="009242A8">
        <w:rPr>
          <w:rFonts w:eastAsiaTheme="minorHAnsi"/>
          <w:b/>
          <w:i/>
          <w:szCs w:val="24"/>
        </w:rPr>
        <w:t xml:space="preserve"> u sljedeću godinu</w:t>
      </w:r>
    </w:p>
    <w:p w14:paraId="27249869" w14:textId="77777777" w:rsidR="001A2A12" w:rsidRPr="009242A8" w:rsidRDefault="001A2A12" w:rsidP="001A2A12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b/>
          <w:i/>
          <w:szCs w:val="24"/>
        </w:rPr>
      </w:pPr>
    </w:p>
    <w:p w14:paraId="06E1C95A" w14:textId="22DEEE44" w:rsidR="000B5F8E" w:rsidRPr="009242A8" w:rsidRDefault="000B5F8E" w:rsidP="000B5F8E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Kod vlastitih izvora financiranja rashodi se financiraju iz prihoda koji se ostvare tijekom tekuće godine, ali i prenesenog stanja na računu („donos“). Krajem 2022. godine ostat će određeno stanje na računu koje se prenosi u sljedeću 2023. godinu („odnos“).</w:t>
      </w:r>
      <w:r w:rsidR="004646E4">
        <w:rPr>
          <w:rFonts w:eastAsiaTheme="minorHAnsi"/>
          <w:szCs w:val="24"/>
        </w:rPr>
        <w:t xml:space="preserve"> Planirani donos / odnos za izvor financiranja 31 iznosi 13,27 EUR-a za razdoblje 2023-2025. (isti iznos za sve tri godine).</w:t>
      </w:r>
    </w:p>
    <w:p w14:paraId="3C97D03F" w14:textId="0C667ED7" w:rsidR="000B5F8E" w:rsidRDefault="000B5F8E" w:rsidP="000B5F8E">
      <w:pPr>
        <w:shd w:val="clear" w:color="auto" w:fill="FFFFFF"/>
        <w:rPr>
          <w:szCs w:val="24"/>
        </w:rPr>
      </w:pPr>
    </w:p>
    <w:p w14:paraId="531CAA63" w14:textId="0DC17F38" w:rsidR="001A2A12" w:rsidRDefault="001A2A12" w:rsidP="000B5F8E">
      <w:pPr>
        <w:shd w:val="clear" w:color="auto" w:fill="FFFFFF"/>
        <w:rPr>
          <w:szCs w:val="24"/>
        </w:rPr>
      </w:pPr>
    </w:p>
    <w:p w14:paraId="533A465C" w14:textId="7DAA080B" w:rsidR="001A2A12" w:rsidRDefault="001A2A12" w:rsidP="000B5F8E">
      <w:pPr>
        <w:shd w:val="clear" w:color="auto" w:fill="FFFFFF"/>
        <w:rPr>
          <w:szCs w:val="24"/>
        </w:rPr>
      </w:pPr>
    </w:p>
    <w:p w14:paraId="7F0378EA" w14:textId="77777777" w:rsidR="001A2A12" w:rsidRPr="009242A8" w:rsidRDefault="001A2A12" w:rsidP="000B5F8E">
      <w:pPr>
        <w:shd w:val="clear" w:color="auto" w:fill="FFFFFF"/>
        <w:rPr>
          <w:szCs w:val="24"/>
        </w:rPr>
      </w:pPr>
    </w:p>
    <w:p w14:paraId="6D472643" w14:textId="1C27F58B" w:rsidR="000B5F8E" w:rsidRPr="009242A8" w:rsidRDefault="000B5F8E" w:rsidP="000B5F8E">
      <w:pPr>
        <w:shd w:val="clear" w:color="auto" w:fill="FFFFFF"/>
        <w:rPr>
          <w:szCs w:val="24"/>
        </w:rPr>
      </w:pPr>
    </w:p>
    <w:tbl>
      <w:tblPr>
        <w:tblW w:w="10249" w:type="dxa"/>
        <w:tblLook w:val="04A0" w:firstRow="1" w:lastRow="0" w:firstColumn="1" w:lastColumn="0" w:noHBand="0" w:noVBand="1"/>
      </w:tblPr>
      <w:tblGrid>
        <w:gridCol w:w="3320"/>
        <w:gridCol w:w="1746"/>
        <w:gridCol w:w="1623"/>
        <w:gridCol w:w="1900"/>
        <w:gridCol w:w="1660"/>
      </w:tblGrid>
      <w:tr w:rsidR="00227021" w:rsidRPr="009242A8" w14:paraId="54770088" w14:textId="77777777" w:rsidTr="00227021">
        <w:trPr>
          <w:trHeight w:val="30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B4F0" w14:textId="37ED692E" w:rsidR="00227021" w:rsidRPr="009242A8" w:rsidRDefault="00227021" w:rsidP="00227021">
            <w:pPr>
              <w:pStyle w:val="Odlomakpopisa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  <w:szCs w:val="24"/>
                <w:lang w:eastAsia="hr-HR"/>
              </w:rPr>
            </w:pPr>
            <w:r w:rsidRPr="009242A8">
              <w:rPr>
                <w:b/>
                <w:i/>
                <w:color w:val="000000"/>
                <w:szCs w:val="24"/>
                <w:lang w:eastAsia="hr-HR"/>
              </w:rPr>
              <w:lastRenderedPageBreak/>
              <w:t>Ukupne i dospjele obveze</w:t>
            </w:r>
          </w:p>
          <w:p w14:paraId="29E8E2CD" w14:textId="77777777" w:rsidR="00227021" w:rsidRPr="009242A8" w:rsidRDefault="00227021" w:rsidP="00227021">
            <w:pPr>
              <w:pStyle w:val="Odlomakpopisa"/>
              <w:overflowPunct/>
              <w:autoSpaceDE/>
              <w:autoSpaceDN/>
              <w:adjustRightInd/>
              <w:ind w:left="1080"/>
              <w:textAlignment w:val="auto"/>
              <w:rPr>
                <w:b/>
                <w:i/>
                <w:color w:val="000000"/>
                <w:szCs w:val="24"/>
                <w:lang w:eastAsia="hr-HR"/>
              </w:rPr>
            </w:pPr>
          </w:p>
          <w:p w14:paraId="59E90A8A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  <w:szCs w:val="24"/>
                <w:lang w:eastAsia="hr-HR"/>
              </w:rPr>
            </w:pPr>
          </w:p>
          <w:p w14:paraId="5C46488B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Stanje obveza Trgovačkog suda u Splitu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25E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9C6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830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</w:tr>
      <w:tr w:rsidR="00227021" w:rsidRPr="009242A8" w14:paraId="02F45A87" w14:textId="77777777" w:rsidTr="00227021">
        <w:trPr>
          <w:trHeight w:val="600"/>
        </w:trPr>
        <w:tc>
          <w:tcPr>
            <w:tcW w:w="332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45C4E6D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74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439907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Ukupne obveze HRK</w:t>
            </w:r>
          </w:p>
        </w:tc>
        <w:tc>
          <w:tcPr>
            <w:tcW w:w="162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F67787F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Ukupne obveze EUR</w:t>
            </w:r>
          </w:p>
        </w:tc>
        <w:tc>
          <w:tcPr>
            <w:tcW w:w="19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F868F7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Dospjele obveze HRK</w:t>
            </w:r>
          </w:p>
        </w:tc>
        <w:tc>
          <w:tcPr>
            <w:tcW w:w="16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83B3887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Dospjele obveze EUR</w:t>
            </w:r>
          </w:p>
        </w:tc>
      </w:tr>
      <w:tr w:rsidR="00227021" w:rsidRPr="009242A8" w14:paraId="6487E2ED" w14:textId="77777777" w:rsidTr="00227021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41AB75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Stanje obveza na dan 31.12.2021.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5B8D1C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87.944.912,42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41416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87.944.912,42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775BF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10187A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0,00</w:t>
            </w:r>
          </w:p>
        </w:tc>
      </w:tr>
      <w:tr w:rsidR="00227021" w:rsidRPr="009242A8" w14:paraId="22217853" w14:textId="77777777" w:rsidTr="00227021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19796F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Stanje obveza na dan 30.06.2022.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548147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105.473.317,71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F02E20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10.573.317,71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265759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F19D03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0,00</w:t>
            </w:r>
          </w:p>
        </w:tc>
      </w:tr>
    </w:tbl>
    <w:p w14:paraId="7911C1EB" w14:textId="77777777" w:rsidR="00227021" w:rsidRPr="009242A8" w:rsidRDefault="00227021" w:rsidP="00227021">
      <w:pPr>
        <w:overflowPunct/>
        <w:autoSpaceDE/>
        <w:autoSpaceDN/>
        <w:adjustRightInd/>
        <w:textAlignment w:val="auto"/>
        <w:rPr>
          <w:szCs w:val="24"/>
        </w:rPr>
      </w:pPr>
    </w:p>
    <w:p w14:paraId="0AFE48CC" w14:textId="583B6F9B" w:rsidR="000B5F8E" w:rsidRPr="009242A8" w:rsidRDefault="000B5F8E" w:rsidP="000B5F8E">
      <w:pPr>
        <w:shd w:val="clear" w:color="auto" w:fill="FFFFFF"/>
        <w:rPr>
          <w:szCs w:val="24"/>
        </w:rPr>
      </w:pPr>
    </w:p>
    <w:p w14:paraId="7B3581AB" w14:textId="4EBC80B2" w:rsidR="000B5F8E" w:rsidRPr="009242A8" w:rsidRDefault="000B5F8E" w:rsidP="000B5F8E">
      <w:pPr>
        <w:shd w:val="clear" w:color="auto" w:fill="FFFFFF"/>
        <w:rPr>
          <w:szCs w:val="24"/>
        </w:rPr>
      </w:pPr>
    </w:p>
    <w:p w14:paraId="30A20501" w14:textId="52A6D71F" w:rsidR="000B5F8E" w:rsidRPr="009242A8" w:rsidRDefault="000B5F8E" w:rsidP="000B5F8E">
      <w:pPr>
        <w:shd w:val="clear" w:color="auto" w:fill="FFFFFF"/>
        <w:rPr>
          <w:szCs w:val="24"/>
        </w:rPr>
      </w:pPr>
    </w:p>
    <w:p w14:paraId="1230187E" w14:textId="77777777" w:rsidR="00227021" w:rsidRPr="009242A8" w:rsidRDefault="00227021" w:rsidP="00227021">
      <w:pPr>
        <w:pStyle w:val="Bezproreda"/>
        <w:ind w:firstLine="708"/>
        <w:jc w:val="both"/>
        <w:rPr>
          <w:szCs w:val="24"/>
        </w:rPr>
      </w:pPr>
      <w:r w:rsidRPr="009242A8">
        <w:rPr>
          <w:szCs w:val="24"/>
        </w:rPr>
        <w:t xml:space="preserve">Trgovački sud u Splitu zaključio je ugovor o financijskom </w:t>
      </w:r>
      <w:proofErr w:type="spellStart"/>
      <w:r w:rsidRPr="009242A8">
        <w:rPr>
          <w:szCs w:val="24"/>
        </w:rPr>
        <w:t>leasingu</w:t>
      </w:r>
      <w:proofErr w:type="spellEnd"/>
      <w:r w:rsidRPr="009242A8">
        <w:rPr>
          <w:szCs w:val="24"/>
        </w:rPr>
        <w:t xml:space="preserve"> automobila broj 1061518  OTP </w:t>
      </w:r>
      <w:proofErr w:type="spellStart"/>
      <w:r w:rsidRPr="009242A8">
        <w:rPr>
          <w:szCs w:val="24"/>
        </w:rPr>
        <w:t>Leasing</w:t>
      </w:r>
      <w:proofErr w:type="spellEnd"/>
      <w:r w:rsidRPr="009242A8">
        <w:rPr>
          <w:szCs w:val="24"/>
        </w:rPr>
        <w:t xml:space="preserve"> d.d. iz Zagreba. Ministar financija dao je suglasnost Ministarstvu pravosuđa i uprave za Trgovački sud u Splitu za razdoblje od 2022.-2026., te za 3 rate u  2021.godini.</w:t>
      </w:r>
    </w:p>
    <w:p w14:paraId="5A2859B0" w14:textId="77777777" w:rsidR="00227021" w:rsidRPr="009242A8" w:rsidRDefault="00227021" w:rsidP="00227021">
      <w:pPr>
        <w:pStyle w:val="Bezproreda"/>
        <w:jc w:val="both"/>
        <w:rPr>
          <w:szCs w:val="24"/>
        </w:rPr>
      </w:pPr>
    </w:p>
    <w:p w14:paraId="59058C74" w14:textId="77777777" w:rsidR="00227021" w:rsidRPr="009242A8" w:rsidRDefault="00227021" w:rsidP="00227021">
      <w:pPr>
        <w:jc w:val="both"/>
        <w:rPr>
          <w:szCs w:val="24"/>
        </w:rPr>
      </w:pPr>
      <w:r w:rsidRPr="009242A8">
        <w:rPr>
          <w:szCs w:val="24"/>
        </w:rPr>
        <w:tab/>
        <w:t>U financijskom planu za 2023.-2025. godinu, vezano za nabavu osobnog automobila, planirali smo kako slijedi:</w:t>
      </w:r>
    </w:p>
    <w:p w14:paraId="44EA1DF9" w14:textId="77777777" w:rsidR="00227021" w:rsidRPr="009242A8" w:rsidRDefault="00227021" w:rsidP="00227021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6315" w:type="dxa"/>
        <w:tblLook w:val="04A0" w:firstRow="1" w:lastRow="0" w:firstColumn="1" w:lastColumn="0" w:noHBand="0" w:noVBand="1"/>
      </w:tblPr>
      <w:tblGrid>
        <w:gridCol w:w="1217"/>
        <w:gridCol w:w="1669"/>
        <w:gridCol w:w="1789"/>
        <w:gridCol w:w="1640"/>
      </w:tblGrid>
      <w:tr w:rsidR="00227021" w:rsidRPr="009242A8" w14:paraId="3B3F64E4" w14:textId="77777777" w:rsidTr="004646E4">
        <w:trPr>
          <w:trHeight w:val="315"/>
        </w:trPr>
        <w:tc>
          <w:tcPr>
            <w:tcW w:w="121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8CBF82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GODINA</w:t>
            </w:r>
          </w:p>
        </w:tc>
        <w:tc>
          <w:tcPr>
            <w:tcW w:w="345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9BC73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SKUPINA RAČUNA</w:t>
            </w:r>
          </w:p>
        </w:tc>
        <w:tc>
          <w:tcPr>
            <w:tcW w:w="16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35DBBA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UKUPNO</w:t>
            </w:r>
          </w:p>
          <w:p w14:paraId="2A3B2D23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HRK</w:t>
            </w:r>
          </w:p>
        </w:tc>
      </w:tr>
      <w:tr w:rsidR="00227021" w:rsidRPr="009242A8" w14:paraId="41D907EC" w14:textId="77777777" w:rsidTr="004646E4">
        <w:trPr>
          <w:trHeight w:val="615"/>
        </w:trPr>
        <w:tc>
          <w:tcPr>
            <w:tcW w:w="121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A0E5C1E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3F0A3D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3427  (kamate)</w:t>
            </w:r>
          </w:p>
          <w:p w14:paraId="21CA711C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HRK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61F84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4231  (glavnica)</w:t>
            </w:r>
          </w:p>
          <w:p w14:paraId="3F7E3247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HRK</w:t>
            </w:r>
          </w:p>
        </w:tc>
        <w:tc>
          <w:tcPr>
            <w:tcW w:w="16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75BA515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</w:p>
        </w:tc>
      </w:tr>
      <w:tr w:rsidR="00227021" w:rsidRPr="009242A8" w14:paraId="126281D1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11B4C9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516ADF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3.403,49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7DBD6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24.238,63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D83B29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27.642,12</w:t>
            </w:r>
          </w:p>
        </w:tc>
      </w:tr>
      <w:tr w:rsidR="00227021" w:rsidRPr="009242A8" w14:paraId="47E7A6FA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1AF44F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1B5C2E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2.415,96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AC369D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25.226,16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B80012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27.642,12</w:t>
            </w:r>
          </w:p>
        </w:tc>
      </w:tr>
      <w:tr w:rsidR="00227021" w:rsidRPr="009242A8" w14:paraId="6A8CEEBD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FDA900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49393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1.388,22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24F979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26.253,90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8398E3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27.642,12</w:t>
            </w:r>
          </w:p>
        </w:tc>
      </w:tr>
      <w:tr w:rsidR="00227021" w:rsidRPr="009242A8" w14:paraId="4274E49D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AFC44B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10A3FD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7.207,67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1403010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75.718,69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680B38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82.926,36</w:t>
            </w:r>
          </w:p>
        </w:tc>
      </w:tr>
      <w:tr w:rsidR="00227021" w:rsidRPr="009242A8" w14:paraId="305A7632" w14:textId="77777777" w:rsidTr="004646E4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476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C25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A02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E3A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</w:tr>
      <w:tr w:rsidR="00227021" w:rsidRPr="009242A8" w14:paraId="6E0F0917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ED0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273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B28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E28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hr-HR"/>
              </w:rPr>
            </w:pPr>
          </w:p>
        </w:tc>
      </w:tr>
      <w:tr w:rsidR="00227021" w:rsidRPr="009242A8" w14:paraId="54613DEE" w14:textId="77777777" w:rsidTr="004646E4">
        <w:trPr>
          <w:trHeight w:val="315"/>
        </w:trPr>
        <w:tc>
          <w:tcPr>
            <w:tcW w:w="121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DC98E9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GODINA</w:t>
            </w:r>
          </w:p>
        </w:tc>
        <w:tc>
          <w:tcPr>
            <w:tcW w:w="345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E30FA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SKUPINA RAČUNA</w:t>
            </w:r>
          </w:p>
        </w:tc>
        <w:tc>
          <w:tcPr>
            <w:tcW w:w="16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DCD19D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UKUPNO</w:t>
            </w:r>
          </w:p>
          <w:p w14:paraId="75623A3D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EUR</w:t>
            </w:r>
          </w:p>
        </w:tc>
      </w:tr>
      <w:tr w:rsidR="00227021" w:rsidRPr="009242A8" w14:paraId="76626F36" w14:textId="77777777" w:rsidTr="004646E4">
        <w:trPr>
          <w:trHeight w:val="615"/>
        </w:trPr>
        <w:tc>
          <w:tcPr>
            <w:tcW w:w="121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191B265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75ABDA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3427  (kamate)</w:t>
            </w:r>
          </w:p>
          <w:p w14:paraId="664E97E5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EUR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2613E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4231  (glavnica)</w:t>
            </w:r>
          </w:p>
          <w:p w14:paraId="7FD5FAA6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EUR</w:t>
            </w:r>
          </w:p>
        </w:tc>
        <w:tc>
          <w:tcPr>
            <w:tcW w:w="16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FDB701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</w:p>
        </w:tc>
      </w:tr>
      <w:tr w:rsidR="00227021" w:rsidRPr="009242A8" w14:paraId="01091A86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516041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1E67E5A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451,72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289E2E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3.217,02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D308E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3.668,74</w:t>
            </w:r>
          </w:p>
        </w:tc>
      </w:tr>
      <w:tr w:rsidR="00227021" w:rsidRPr="009242A8" w14:paraId="45102A22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4B30B7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098B280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320,65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04AB85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3.348,09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34F10B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3.668,74</w:t>
            </w:r>
          </w:p>
        </w:tc>
      </w:tr>
      <w:tr w:rsidR="00227021" w:rsidRPr="009242A8" w14:paraId="478ADE47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2D2D00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2025.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2419E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184,25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C01FED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3.484,49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39A7518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3.668,74</w:t>
            </w:r>
          </w:p>
        </w:tc>
      </w:tr>
      <w:tr w:rsidR="00227021" w:rsidRPr="009242A8" w14:paraId="2C9C3AF7" w14:textId="77777777" w:rsidTr="004646E4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7E2B5A" w14:textId="77777777" w:rsidR="00227021" w:rsidRPr="009242A8" w:rsidRDefault="00227021" w:rsidP="00AC3F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451E234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956,62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45FBBCF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10.049,60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7B4C2A6" w14:textId="77777777" w:rsidR="00227021" w:rsidRPr="009242A8" w:rsidRDefault="00227021" w:rsidP="00AC3FA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hr-HR"/>
              </w:rPr>
            </w:pPr>
            <w:r w:rsidRPr="009242A8">
              <w:rPr>
                <w:color w:val="000000"/>
                <w:szCs w:val="24"/>
                <w:lang w:eastAsia="hr-HR"/>
              </w:rPr>
              <w:t>11.006,22</w:t>
            </w:r>
          </w:p>
        </w:tc>
      </w:tr>
    </w:tbl>
    <w:p w14:paraId="65979F58" w14:textId="04C8E011" w:rsidR="000B5F8E" w:rsidRPr="009242A8" w:rsidRDefault="000B5F8E" w:rsidP="000B5F8E">
      <w:pPr>
        <w:shd w:val="clear" w:color="auto" w:fill="FFFFFF"/>
        <w:rPr>
          <w:szCs w:val="24"/>
        </w:rPr>
      </w:pPr>
    </w:p>
    <w:p w14:paraId="72EF9FA7" w14:textId="77777777" w:rsidR="00C0680A" w:rsidRPr="009242A8" w:rsidRDefault="00C0680A" w:rsidP="00AB5DC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6DCCB9C2" w14:textId="4FE3E5E9" w:rsidR="00C0680A" w:rsidRPr="009242A8" w:rsidRDefault="00356FBF" w:rsidP="00D64050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U Splitu, 22</w:t>
      </w:r>
      <w:r w:rsidR="003A5BD2" w:rsidRPr="009242A8">
        <w:rPr>
          <w:rFonts w:eastAsiaTheme="minorHAnsi"/>
          <w:szCs w:val="24"/>
        </w:rPr>
        <w:t>.</w:t>
      </w:r>
      <w:r w:rsidR="00AB5DC2" w:rsidRPr="009242A8">
        <w:rPr>
          <w:rFonts w:eastAsiaTheme="minorHAnsi"/>
          <w:szCs w:val="24"/>
        </w:rPr>
        <w:t xml:space="preserve"> </w:t>
      </w:r>
      <w:r w:rsidR="003A5BD2" w:rsidRPr="009242A8">
        <w:rPr>
          <w:rFonts w:eastAsiaTheme="minorHAnsi"/>
          <w:szCs w:val="24"/>
        </w:rPr>
        <w:t>rujna 202</w:t>
      </w:r>
      <w:r w:rsidRPr="009242A8">
        <w:rPr>
          <w:rFonts w:eastAsiaTheme="minorHAnsi"/>
          <w:szCs w:val="24"/>
        </w:rPr>
        <w:t>2</w:t>
      </w:r>
      <w:r w:rsidR="003A5BD2" w:rsidRPr="009242A8">
        <w:rPr>
          <w:rFonts w:eastAsiaTheme="minorHAnsi"/>
          <w:szCs w:val="24"/>
        </w:rPr>
        <w:t>.</w:t>
      </w:r>
    </w:p>
    <w:p w14:paraId="1A4F6051" w14:textId="77777777" w:rsidR="00C0680A" w:rsidRPr="009242A8" w:rsidRDefault="00C0680A" w:rsidP="00C0680A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ab/>
      </w:r>
      <w:r w:rsidRPr="009242A8">
        <w:rPr>
          <w:rFonts w:eastAsiaTheme="minorHAnsi"/>
          <w:szCs w:val="24"/>
        </w:rPr>
        <w:tab/>
      </w:r>
    </w:p>
    <w:p w14:paraId="197D3D4D" w14:textId="1AC05E96" w:rsidR="00AB5DC2" w:rsidRPr="009242A8" w:rsidRDefault="00C0680A" w:rsidP="00AB5DC2">
      <w:pPr>
        <w:pStyle w:val="Bezproreda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ab/>
      </w:r>
      <w:r w:rsidRPr="009242A8">
        <w:rPr>
          <w:rFonts w:eastAsiaTheme="minorHAnsi"/>
          <w:szCs w:val="24"/>
        </w:rPr>
        <w:tab/>
      </w:r>
      <w:r w:rsidRPr="009242A8">
        <w:rPr>
          <w:rFonts w:eastAsiaTheme="minorHAnsi"/>
          <w:szCs w:val="24"/>
        </w:rPr>
        <w:tab/>
      </w:r>
      <w:r w:rsidRPr="009242A8">
        <w:rPr>
          <w:rFonts w:eastAsiaTheme="minorHAnsi"/>
          <w:szCs w:val="24"/>
        </w:rPr>
        <w:tab/>
      </w:r>
      <w:r w:rsidRPr="009242A8">
        <w:rPr>
          <w:rFonts w:eastAsiaTheme="minorHAnsi"/>
          <w:szCs w:val="24"/>
        </w:rPr>
        <w:tab/>
      </w:r>
      <w:r w:rsidR="00AB5DC2" w:rsidRPr="009242A8">
        <w:rPr>
          <w:rFonts w:eastAsiaTheme="minorHAnsi"/>
          <w:szCs w:val="24"/>
        </w:rPr>
        <w:tab/>
      </w:r>
      <w:r w:rsidR="00AB5DC2" w:rsidRPr="009242A8">
        <w:rPr>
          <w:rFonts w:eastAsiaTheme="minorHAnsi"/>
          <w:szCs w:val="24"/>
        </w:rPr>
        <w:tab/>
      </w:r>
      <w:r w:rsidR="00AB5DC2" w:rsidRPr="009242A8">
        <w:rPr>
          <w:rFonts w:eastAsiaTheme="minorHAnsi"/>
          <w:szCs w:val="24"/>
        </w:rPr>
        <w:tab/>
        <w:t>P</w:t>
      </w:r>
      <w:r w:rsidR="00356FBF" w:rsidRPr="009242A8">
        <w:rPr>
          <w:rFonts w:eastAsiaTheme="minorHAnsi"/>
          <w:szCs w:val="24"/>
        </w:rPr>
        <w:t>REDSJEDNICA SUDA</w:t>
      </w:r>
    </w:p>
    <w:p w14:paraId="05E66530" w14:textId="60F95C95" w:rsidR="00C0680A" w:rsidRPr="009242A8" w:rsidRDefault="00AB5DC2" w:rsidP="00AB5DC2">
      <w:pPr>
        <w:pStyle w:val="Bezproreda"/>
        <w:ind w:left="4248" w:firstLine="708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 xml:space="preserve">                  </w:t>
      </w:r>
      <w:r w:rsidR="00356FBF" w:rsidRPr="009242A8">
        <w:rPr>
          <w:rFonts w:eastAsiaTheme="minorHAnsi"/>
          <w:szCs w:val="24"/>
        </w:rPr>
        <w:t>Franka Buzov</w:t>
      </w:r>
      <w:bookmarkStart w:id="0" w:name="_GoBack"/>
      <w:bookmarkEnd w:id="0"/>
    </w:p>
    <w:sectPr w:rsidR="00C0680A" w:rsidRPr="0092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D2"/>
    <w:multiLevelType w:val="hybridMultilevel"/>
    <w:tmpl w:val="C72A3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057"/>
    <w:multiLevelType w:val="hybridMultilevel"/>
    <w:tmpl w:val="99DAC5E0"/>
    <w:lvl w:ilvl="0" w:tplc="6E2C274A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7F37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981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F77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57C40"/>
    <w:multiLevelType w:val="hybridMultilevel"/>
    <w:tmpl w:val="DED67A52"/>
    <w:lvl w:ilvl="0" w:tplc="D558129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902E8"/>
    <w:multiLevelType w:val="hybridMultilevel"/>
    <w:tmpl w:val="73E47E28"/>
    <w:lvl w:ilvl="0" w:tplc="D4E85A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410DBB"/>
    <w:multiLevelType w:val="hybridMultilevel"/>
    <w:tmpl w:val="6E646978"/>
    <w:lvl w:ilvl="0" w:tplc="94EC9CE4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3B4C"/>
    <w:multiLevelType w:val="hybridMultilevel"/>
    <w:tmpl w:val="EF2C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5F85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424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5"/>
    <w:rsid w:val="0002480B"/>
    <w:rsid w:val="00036EFF"/>
    <w:rsid w:val="000829D1"/>
    <w:rsid w:val="000A745C"/>
    <w:rsid w:val="000B5F8E"/>
    <w:rsid w:val="000F4842"/>
    <w:rsid w:val="001A2A12"/>
    <w:rsid w:val="001A385E"/>
    <w:rsid w:val="001D3BDA"/>
    <w:rsid w:val="00227021"/>
    <w:rsid w:val="002814B5"/>
    <w:rsid w:val="002B3362"/>
    <w:rsid w:val="00356FBF"/>
    <w:rsid w:val="00383486"/>
    <w:rsid w:val="00384CE1"/>
    <w:rsid w:val="003914A9"/>
    <w:rsid w:val="003A5BD2"/>
    <w:rsid w:val="003D3F5E"/>
    <w:rsid w:val="00415BC6"/>
    <w:rsid w:val="00432DA4"/>
    <w:rsid w:val="004445B6"/>
    <w:rsid w:val="004452F9"/>
    <w:rsid w:val="004646E4"/>
    <w:rsid w:val="00473097"/>
    <w:rsid w:val="00484EE6"/>
    <w:rsid w:val="004A00DD"/>
    <w:rsid w:val="004D714A"/>
    <w:rsid w:val="005254E5"/>
    <w:rsid w:val="0057545E"/>
    <w:rsid w:val="005C2070"/>
    <w:rsid w:val="005E5696"/>
    <w:rsid w:val="00610027"/>
    <w:rsid w:val="00620186"/>
    <w:rsid w:val="00641770"/>
    <w:rsid w:val="006453A2"/>
    <w:rsid w:val="006608D6"/>
    <w:rsid w:val="0066585E"/>
    <w:rsid w:val="007121B2"/>
    <w:rsid w:val="00756BD2"/>
    <w:rsid w:val="007A0B62"/>
    <w:rsid w:val="007C05BA"/>
    <w:rsid w:val="007C2BDD"/>
    <w:rsid w:val="007D7CC0"/>
    <w:rsid w:val="00800144"/>
    <w:rsid w:val="00807F2F"/>
    <w:rsid w:val="00827F9E"/>
    <w:rsid w:val="00843291"/>
    <w:rsid w:val="00865538"/>
    <w:rsid w:val="00890EDF"/>
    <w:rsid w:val="008B3E37"/>
    <w:rsid w:val="008D495A"/>
    <w:rsid w:val="009242A8"/>
    <w:rsid w:val="0094701D"/>
    <w:rsid w:val="00952681"/>
    <w:rsid w:val="009646DA"/>
    <w:rsid w:val="009B7CFD"/>
    <w:rsid w:val="009E46B9"/>
    <w:rsid w:val="009E6336"/>
    <w:rsid w:val="009F5084"/>
    <w:rsid w:val="00A6632E"/>
    <w:rsid w:val="00AB5DC2"/>
    <w:rsid w:val="00AB636E"/>
    <w:rsid w:val="00AD148E"/>
    <w:rsid w:val="00B43D5E"/>
    <w:rsid w:val="00B729C0"/>
    <w:rsid w:val="00BB590E"/>
    <w:rsid w:val="00BC1BE0"/>
    <w:rsid w:val="00BF2DB7"/>
    <w:rsid w:val="00C006A5"/>
    <w:rsid w:val="00C0680A"/>
    <w:rsid w:val="00C27E55"/>
    <w:rsid w:val="00C932A9"/>
    <w:rsid w:val="00CE2A12"/>
    <w:rsid w:val="00D35E69"/>
    <w:rsid w:val="00D546A0"/>
    <w:rsid w:val="00D5612C"/>
    <w:rsid w:val="00D64050"/>
    <w:rsid w:val="00D71CAE"/>
    <w:rsid w:val="00DE08AE"/>
    <w:rsid w:val="00DF7B2C"/>
    <w:rsid w:val="00E23C08"/>
    <w:rsid w:val="00E34ECE"/>
    <w:rsid w:val="00E66CCE"/>
    <w:rsid w:val="00EB0CFB"/>
    <w:rsid w:val="00ED1588"/>
    <w:rsid w:val="00EF449D"/>
    <w:rsid w:val="00F00DCF"/>
    <w:rsid w:val="00F03591"/>
    <w:rsid w:val="00F245D0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88A3"/>
  <w15:docId w15:val="{892AFCFF-B4C0-4C9A-B3BE-F335912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08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640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8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80A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5E5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746E-6C9E-47C4-9923-EBE967F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Tomaš</dc:creator>
  <cp:lastModifiedBy>Kristina Tomaš</cp:lastModifiedBy>
  <cp:revision>2</cp:revision>
  <cp:lastPrinted>2022-12-29T12:26:00Z</cp:lastPrinted>
  <dcterms:created xsi:type="dcterms:W3CDTF">2022-12-29T12:32:00Z</dcterms:created>
  <dcterms:modified xsi:type="dcterms:W3CDTF">2022-12-29T12:32:00Z</dcterms:modified>
</cp:coreProperties>
</file>