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42" w:rsidRPr="00DE16CF" w:rsidRDefault="002F2B42" w:rsidP="002F2B42">
      <w:pPr>
        <w:spacing w:after="200" w:line="276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DE16CF">
        <w:rPr>
          <w:rFonts w:ascii="Times New Roman" w:hAnsi="Times New Roman" w:cs="Times New Roman"/>
          <w:b/>
          <w:i/>
          <w:szCs w:val="24"/>
        </w:rPr>
        <w:t>OBRAZLOŽENJE POSEBNOG  DIJELA  FINANCIJSKOG PLANA</w:t>
      </w:r>
    </w:p>
    <w:p w:rsidR="002F2B42" w:rsidRPr="00DE16CF" w:rsidRDefault="002F2B42" w:rsidP="002F2B42">
      <w:pPr>
        <w:spacing w:after="200" w:line="276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DE16CF">
        <w:rPr>
          <w:rFonts w:ascii="Times New Roman" w:hAnsi="Times New Roman" w:cs="Times New Roman"/>
          <w:b/>
          <w:i/>
          <w:szCs w:val="24"/>
        </w:rPr>
        <w:t>Trgovački sud u Splitu</w:t>
      </w:r>
    </w:p>
    <w:p w:rsidR="002F2B42" w:rsidRPr="00DE16CF" w:rsidRDefault="002F2B42" w:rsidP="005A1436">
      <w:pPr>
        <w:rPr>
          <w:rFonts w:ascii="Times New Roman" w:eastAsia="Times New Roman" w:hAnsi="Times New Roman" w:cs="Times New Roman"/>
          <w:b/>
          <w:i/>
          <w:iCs/>
          <w:color w:val="000000"/>
          <w:szCs w:val="24"/>
          <w:lang w:eastAsia="hr-HR"/>
        </w:rPr>
      </w:pPr>
    </w:p>
    <w:p w:rsidR="005A1436" w:rsidRPr="00DE16CF" w:rsidRDefault="005A1436" w:rsidP="005A1436">
      <w:pPr>
        <w:spacing w:after="200" w:line="276" w:lineRule="auto"/>
        <w:jc w:val="both"/>
        <w:rPr>
          <w:rFonts w:ascii="Times New Roman" w:hAnsi="Times New Roman" w:cs="Times New Roman"/>
          <w:szCs w:val="24"/>
        </w:rPr>
      </w:pPr>
    </w:p>
    <w:p w:rsidR="005A1436" w:rsidRPr="00DE16CF" w:rsidRDefault="005A1436" w:rsidP="002F2B42">
      <w:pPr>
        <w:spacing w:after="200" w:line="276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E16CF">
        <w:rPr>
          <w:rFonts w:ascii="Times New Roman" w:hAnsi="Times New Roman" w:cs="Times New Roman"/>
          <w:szCs w:val="24"/>
        </w:rPr>
        <w:t xml:space="preserve">Trgovački sud u Splitu pripada razdjelu 109 Ministarstvo pravosuđa i uprave glava 70 Trgovački sudovi (oznaka </w:t>
      </w:r>
      <w:r w:rsidRPr="00DE16CF">
        <w:rPr>
          <w:rFonts w:ascii="Times New Roman" w:hAnsi="Times New Roman" w:cs="Times New Roman"/>
          <w:b/>
          <w:szCs w:val="24"/>
        </w:rPr>
        <w:t>10970</w:t>
      </w:r>
      <w:r w:rsidRPr="00DE16CF">
        <w:rPr>
          <w:rFonts w:ascii="Times New Roman" w:hAnsi="Times New Roman" w:cs="Times New Roman"/>
          <w:szCs w:val="24"/>
        </w:rPr>
        <w:t xml:space="preserve">). RKP Trgovačkog suda je </w:t>
      </w:r>
      <w:r w:rsidRPr="00DE16CF">
        <w:rPr>
          <w:rFonts w:ascii="Times New Roman" w:hAnsi="Times New Roman" w:cs="Times New Roman"/>
          <w:b/>
          <w:szCs w:val="24"/>
        </w:rPr>
        <w:t>3566</w:t>
      </w:r>
      <w:r w:rsidRPr="00DE16CF">
        <w:rPr>
          <w:rFonts w:ascii="Times New Roman" w:hAnsi="Times New Roman" w:cs="Times New Roman"/>
          <w:szCs w:val="24"/>
        </w:rPr>
        <w:t xml:space="preserve">. </w:t>
      </w:r>
    </w:p>
    <w:p w:rsidR="00D44A84" w:rsidRPr="00DE16CF" w:rsidRDefault="00D44A84" w:rsidP="00D44A84">
      <w:pPr>
        <w:pStyle w:val="Odlomakpopisa"/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i/>
          <w:color w:val="000000"/>
          <w:szCs w:val="24"/>
          <w:lang w:eastAsia="hr-HR"/>
        </w:rPr>
      </w:pPr>
      <w:r w:rsidRPr="00DE16CF">
        <w:rPr>
          <w:b/>
          <w:i/>
          <w:color w:val="000000"/>
          <w:szCs w:val="24"/>
          <w:lang w:eastAsia="hr-HR"/>
        </w:rPr>
        <w:t>Najznačajniji poslovi i zadaci, planirana i izvršena financijska sredstva</w:t>
      </w:r>
    </w:p>
    <w:p w:rsidR="00D44A84" w:rsidRPr="00DE16CF" w:rsidRDefault="00D44A84" w:rsidP="00D44A84">
      <w:pPr>
        <w:pStyle w:val="Odlomakpopisa"/>
        <w:overflowPunct/>
        <w:autoSpaceDE/>
        <w:autoSpaceDN/>
        <w:adjustRightInd/>
        <w:ind w:left="1080"/>
        <w:textAlignment w:val="auto"/>
        <w:rPr>
          <w:b/>
          <w:i/>
          <w:color w:val="000000"/>
          <w:szCs w:val="24"/>
          <w:lang w:eastAsia="hr-HR"/>
        </w:rPr>
      </w:pPr>
    </w:p>
    <w:p w:rsidR="00D44A84" w:rsidRPr="00DE16CF" w:rsidRDefault="00D44A84" w:rsidP="00D44A84">
      <w:pPr>
        <w:shd w:val="clear" w:color="auto" w:fill="FFFFFF"/>
        <w:ind w:firstLine="360"/>
        <w:jc w:val="both"/>
        <w:rPr>
          <w:rFonts w:ascii="Times New Roman" w:hAnsi="Times New Roman" w:cs="Times New Roman"/>
          <w:szCs w:val="24"/>
        </w:rPr>
      </w:pPr>
    </w:p>
    <w:p w:rsidR="00D44A84" w:rsidRPr="00DE16CF" w:rsidRDefault="00D44A84" w:rsidP="00D44A84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Cs/>
          <w:szCs w:val="24"/>
        </w:rPr>
      </w:pPr>
    </w:p>
    <w:p w:rsidR="00D44A84" w:rsidRPr="00DE16CF" w:rsidRDefault="00D44A84" w:rsidP="00D44A84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Cs/>
          <w:szCs w:val="24"/>
        </w:rPr>
      </w:pPr>
      <w:r w:rsidRPr="00DE16CF">
        <w:rPr>
          <w:rFonts w:eastAsiaTheme="minorHAnsi"/>
          <w:iCs/>
          <w:szCs w:val="24"/>
        </w:rPr>
        <w:t>Program Trgovačkog suda u Splitu je vođenje sudskih postupaka iz nadležnosti trgovačkih sudova ( A 639000).</w:t>
      </w:r>
    </w:p>
    <w:tbl>
      <w:tblPr>
        <w:tblW w:w="10447" w:type="dxa"/>
        <w:tblInd w:w="-677" w:type="dxa"/>
        <w:tblLook w:val="04A0" w:firstRow="1" w:lastRow="0" w:firstColumn="1" w:lastColumn="0" w:noHBand="0" w:noVBand="1"/>
      </w:tblPr>
      <w:tblGrid>
        <w:gridCol w:w="1509"/>
        <w:gridCol w:w="1373"/>
        <w:gridCol w:w="1547"/>
        <w:gridCol w:w="1678"/>
        <w:gridCol w:w="1547"/>
        <w:gridCol w:w="1318"/>
        <w:gridCol w:w="1253"/>
        <w:gridCol w:w="222"/>
      </w:tblGrid>
      <w:tr w:rsidR="00D44A84" w:rsidRPr="00DE16CF" w:rsidTr="00F70968">
        <w:trPr>
          <w:trHeight w:val="600"/>
        </w:trPr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D44A84" w:rsidRPr="00DE16CF" w:rsidRDefault="00D44A84" w:rsidP="00F70968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Glava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/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razdjel</w:t>
            </w:r>
            <w:proofErr w:type="spellEnd"/>
          </w:p>
          <w:p w:rsidR="00D44A84" w:rsidRPr="00DE16CF" w:rsidRDefault="00D44A84" w:rsidP="00F70968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Oznaka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valute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3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D44A84" w:rsidRPr="00DE16CF" w:rsidRDefault="00D44A84" w:rsidP="00F70968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Izvršenje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 xml:space="preserve"> 2021.</w:t>
            </w:r>
          </w:p>
        </w:tc>
        <w:tc>
          <w:tcPr>
            <w:tcW w:w="15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D44A84" w:rsidRPr="00DE16CF" w:rsidRDefault="00D44A84" w:rsidP="00F70968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Plan 2022.</w:t>
            </w:r>
          </w:p>
        </w:tc>
        <w:tc>
          <w:tcPr>
            <w:tcW w:w="16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D44A84" w:rsidRPr="00DE16CF" w:rsidRDefault="00D44A84" w:rsidP="00F70968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Plan 2023.</w:t>
            </w:r>
          </w:p>
        </w:tc>
        <w:tc>
          <w:tcPr>
            <w:tcW w:w="15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D44A84" w:rsidRPr="00DE16CF" w:rsidRDefault="00D44A84" w:rsidP="00F70968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Plan 2024.</w:t>
            </w:r>
          </w:p>
        </w:tc>
        <w:tc>
          <w:tcPr>
            <w:tcW w:w="13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D44A84" w:rsidRPr="00DE16CF" w:rsidRDefault="00D44A84" w:rsidP="00F70968">
            <w:pPr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val="en-GB" w:eastAsia="en-GB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Plan 2025.</w:t>
            </w:r>
          </w:p>
        </w:tc>
        <w:tc>
          <w:tcPr>
            <w:tcW w:w="12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44A84" w:rsidRPr="00DE16CF" w:rsidRDefault="00D44A84" w:rsidP="00F70968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Indeks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 xml:space="preserve"> 2023/2022</w:t>
            </w:r>
          </w:p>
        </w:tc>
        <w:tc>
          <w:tcPr>
            <w:tcW w:w="2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</w:p>
        </w:tc>
      </w:tr>
      <w:tr w:rsidR="00D44A84" w:rsidRPr="00DE16CF" w:rsidTr="00F70968">
        <w:trPr>
          <w:trHeight w:val="540"/>
        </w:trPr>
        <w:tc>
          <w:tcPr>
            <w:tcW w:w="1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D44A84" w:rsidRPr="00DE16CF" w:rsidRDefault="00D44A84" w:rsidP="00F70968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 10970</w:t>
            </w:r>
          </w:p>
          <w:p w:rsidR="00D44A84" w:rsidRPr="00DE16CF" w:rsidRDefault="00D44A84" w:rsidP="00F70968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HRK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D44A84" w:rsidRPr="00DE16CF" w:rsidRDefault="00D44A84" w:rsidP="00F70968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 10.819.484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44A84" w:rsidRPr="00DE16CF" w:rsidRDefault="00D44A84" w:rsidP="00F70968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11.127.300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44A84" w:rsidRPr="00DE16CF" w:rsidRDefault="00D44A84" w:rsidP="00DE16CF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 11.660.</w:t>
            </w:r>
            <w:r w:rsid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814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44A84" w:rsidRPr="00DE16CF" w:rsidRDefault="00D44A84" w:rsidP="00DE16CF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12.299.3</w:t>
            </w:r>
            <w:r w:rsid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44A84" w:rsidRPr="00DE16CF" w:rsidRDefault="00D44A84" w:rsidP="00DE16CF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12.274.</w:t>
            </w:r>
            <w:r w:rsid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333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44A84" w:rsidRPr="00DE16CF" w:rsidRDefault="00D44A84" w:rsidP="00F70968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104,79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D44A84" w:rsidRPr="00DE16CF" w:rsidRDefault="00D44A84" w:rsidP="00F70968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</w:p>
        </w:tc>
      </w:tr>
      <w:tr w:rsidR="00D44A84" w:rsidRPr="00DE16CF" w:rsidTr="00F70968">
        <w:trPr>
          <w:trHeight w:val="540"/>
        </w:trPr>
        <w:tc>
          <w:tcPr>
            <w:tcW w:w="1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D44A84" w:rsidRPr="00DE16CF" w:rsidRDefault="00D44A84" w:rsidP="00F70968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 10970</w:t>
            </w:r>
          </w:p>
          <w:p w:rsidR="00D44A84" w:rsidRPr="00DE16CF" w:rsidRDefault="00D44A84" w:rsidP="00F70968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EUR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D44A84" w:rsidRPr="00DE16CF" w:rsidRDefault="00D44A84" w:rsidP="00F70968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 1.435.992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44A84" w:rsidRPr="00DE16CF" w:rsidRDefault="00D44A84" w:rsidP="00F70968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1.476.847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44A84" w:rsidRPr="00DE16CF" w:rsidRDefault="00D44A84" w:rsidP="00DE16CF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 1.547.65</w:t>
            </w:r>
            <w:r w:rsid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44A84" w:rsidRPr="00DE16CF" w:rsidRDefault="00DE16CF" w:rsidP="00F70968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1.632.406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D44A84" w:rsidRPr="00DE16CF" w:rsidRDefault="00DE16CF" w:rsidP="00F70968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1.629.084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D44A84" w:rsidRPr="00DE16CF" w:rsidRDefault="00D44A84" w:rsidP="00F70968">
            <w:pPr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  <w:t> 104,79</w:t>
            </w:r>
          </w:p>
        </w:tc>
        <w:tc>
          <w:tcPr>
            <w:tcW w:w="222" w:type="dxa"/>
          </w:tcPr>
          <w:p w:rsidR="00D44A84" w:rsidRPr="00DE16CF" w:rsidRDefault="00D44A84" w:rsidP="00F7096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Cs w:val="24"/>
                <w:lang w:val="en-GB" w:eastAsia="en-GB"/>
              </w:rPr>
            </w:pPr>
          </w:p>
        </w:tc>
      </w:tr>
    </w:tbl>
    <w:p w:rsidR="00D44A84" w:rsidRPr="00DE16CF" w:rsidRDefault="00D44A84" w:rsidP="00D44A84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Cs/>
          <w:szCs w:val="24"/>
        </w:rPr>
      </w:pPr>
    </w:p>
    <w:p w:rsidR="00D44A84" w:rsidRPr="00DE16CF" w:rsidRDefault="00D44A84" w:rsidP="00D44A84">
      <w:pPr>
        <w:ind w:firstLine="360"/>
        <w:rPr>
          <w:rFonts w:ascii="Times New Roman" w:hAnsi="Times New Roman" w:cs="Times New Roman"/>
          <w:szCs w:val="24"/>
        </w:rPr>
      </w:pPr>
    </w:p>
    <w:p w:rsidR="00D44A84" w:rsidRPr="00E5650D" w:rsidRDefault="00D44A84" w:rsidP="00D44A84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E5650D">
        <w:rPr>
          <w:rFonts w:ascii="Times New Roman" w:hAnsi="Times New Roman" w:cs="Times New Roman"/>
          <w:szCs w:val="24"/>
        </w:rPr>
        <w:t xml:space="preserve">Cilj Trgovačkog suda u Splitu je jačanje učinkovitosti pravosuđa. Pokazatelji učinka i rezultata su udio riješenih u odnosu na broj primljenih predmeta odnosno smanjenje </w:t>
      </w:r>
      <w:proofErr w:type="spellStart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>broja</w:t>
      </w:r>
      <w:proofErr w:type="spellEnd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 xml:space="preserve"> </w:t>
      </w:r>
      <w:proofErr w:type="spellStart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>neriješenih</w:t>
      </w:r>
      <w:proofErr w:type="spellEnd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 xml:space="preserve"> </w:t>
      </w:r>
      <w:proofErr w:type="spellStart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>predmeta</w:t>
      </w:r>
      <w:proofErr w:type="spellEnd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 xml:space="preserve"> u </w:t>
      </w:r>
      <w:proofErr w:type="spellStart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>odnosu</w:t>
      </w:r>
      <w:proofErr w:type="spellEnd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 xml:space="preserve"> </w:t>
      </w:r>
      <w:proofErr w:type="spellStart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>na</w:t>
      </w:r>
      <w:proofErr w:type="spellEnd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 xml:space="preserve"> </w:t>
      </w:r>
      <w:proofErr w:type="spellStart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>broj</w:t>
      </w:r>
      <w:proofErr w:type="spellEnd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 xml:space="preserve"> </w:t>
      </w:r>
      <w:proofErr w:type="spellStart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>neriješenih</w:t>
      </w:r>
      <w:proofErr w:type="spellEnd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 xml:space="preserve"> </w:t>
      </w:r>
      <w:proofErr w:type="spellStart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>predmeta</w:t>
      </w:r>
      <w:proofErr w:type="spellEnd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 xml:space="preserve"> </w:t>
      </w:r>
      <w:proofErr w:type="spellStart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>na</w:t>
      </w:r>
      <w:proofErr w:type="spellEnd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 xml:space="preserve"> </w:t>
      </w:r>
      <w:proofErr w:type="spellStart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>kraju</w:t>
      </w:r>
      <w:proofErr w:type="spellEnd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 xml:space="preserve"> </w:t>
      </w:r>
      <w:proofErr w:type="spellStart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>prethodne</w:t>
      </w:r>
      <w:proofErr w:type="spellEnd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 xml:space="preserve"> </w:t>
      </w:r>
      <w:proofErr w:type="spellStart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>godine</w:t>
      </w:r>
      <w:proofErr w:type="spellEnd"/>
      <w:r w:rsidRPr="00E5650D">
        <w:rPr>
          <w:rFonts w:ascii="Times New Roman" w:hAnsi="Times New Roman" w:cs="Times New Roman"/>
          <w:color w:val="000000"/>
          <w:szCs w:val="24"/>
          <w:lang w:val="en-GB" w:eastAsia="hr-HR"/>
        </w:rPr>
        <w:t>.</w:t>
      </w:r>
    </w:p>
    <w:p w:rsidR="00D44A84" w:rsidRPr="00E5650D" w:rsidRDefault="00D44A84" w:rsidP="00D44A84">
      <w:pPr>
        <w:rPr>
          <w:rFonts w:ascii="Times New Roman" w:hAnsi="Times New Roman" w:cs="Times New Roman"/>
          <w:szCs w:val="24"/>
        </w:rPr>
      </w:pPr>
    </w:p>
    <w:p w:rsidR="00D44A84" w:rsidRPr="00E5650D" w:rsidRDefault="00D44A84" w:rsidP="00D44A84">
      <w:pPr>
        <w:ind w:firstLine="360"/>
        <w:rPr>
          <w:rFonts w:ascii="Times New Roman" w:hAnsi="Times New Roman" w:cs="Times New Roman"/>
          <w:szCs w:val="24"/>
        </w:rPr>
      </w:pPr>
      <w:r w:rsidRPr="00E5650D">
        <w:rPr>
          <w:rFonts w:ascii="Times New Roman" w:hAnsi="Times New Roman" w:cs="Times New Roman"/>
          <w:szCs w:val="24"/>
        </w:rPr>
        <w:t>Osnovna aktivnost</w:t>
      </w:r>
      <w:r w:rsidR="00E5650D" w:rsidRPr="00E5650D">
        <w:rPr>
          <w:rFonts w:ascii="Times New Roman" w:hAnsi="Times New Roman" w:cs="Times New Roman"/>
          <w:szCs w:val="24"/>
        </w:rPr>
        <w:t xml:space="preserve"> </w:t>
      </w:r>
      <w:r w:rsidR="00E5650D" w:rsidRPr="00E5650D">
        <w:rPr>
          <w:rFonts w:ascii="Times New Roman" w:hAnsi="Times New Roman" w:cs="Times New Roman"/>
          <w:iCs/>
          <w:szCs w:val="24"/>
        </w:rPr>
        <w:t>A 639000</w:t>
      </w:r>
      <w:r w:rsidRPr="00E5650D">
        <w:rPr>
          <w:rFonts w:ascii="Times New Roman" w:hAnsi="Times New Roman" w:cs="Times New Roman"/>
          <w:szCs w:val="24"/>
        </w:rPr>
        <w:t>: vođenje sudskih postupaka iz nadležnosti trgovačkih sudova</w:t>
      </w:r>
    </w:p>
    <w:p w:rsidR="00D44A84" w:rsidRPr="00DE16CF" w:rsidRDefault="00D44A84" w:rsidP="00D44A84">
      <w:pPr>
        <w:ind w:firstLine="360"/>
        <w:rPr>
          <w:rFonts w:ascii="Times New Roman" w:hAnsi="Times New Roman" w:cs="Times New Roman"/>
          <w:szCs w:val="24"/>
        </w:rPr>
      </w:pPr>
    </w:p>
    <w:p w:rsidR="00D44A84" w:rsidRPr="00DE16CF" w:rsidRDefault="00D44A84" w:rsidP="00D44A84">
      <w:pPr>
        <w:ind w:firstLine="360"/>
        <w:rPr>
          <w:rFonts w:ascii="Times New Roman" w:hAnsi="Times New Roman" w:cs="Times New Roman"/>
          <w:szCs w:val="24"/>
        </w:rPr>
      </w:pPr>
    </w:p>
    <w:p w:rsidR="00D44A84" w:rsidRPr="00DE16CF" w:rsidRDefault="00D44A84" w:rsidP="00D44A84">
      <w:pPr>
        <w:spacing w:after="20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DE16CF">
        <w:rPr>
          <w:rFonts w:ascii="Times New Roman" w:hAnsi="Times New Roman" w:cs="Times New Roman"/>
          <w:i/>
          <w:szCs w:val="24"/>
        </w:rPr>
        <w:t>-Zakonske i druge podloge na kojima se zasnivaju programi</w:t>
      </w:r>
    </w:p>
    <w:p w:rsidR="00D44A84" w:rsidRPr="00DE16CF" w:rsidRDefault="00D44A84" w:rsidP="00D44A84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/>
          <w:szCs w:val="24"/>
        </w:rPr>
      </w:pPr>
    </w:p>
    <w:p w:rsidR="00D44A84" w:rsidRPr="00DE16CF" w:rsidRDefault="00D44A84" w:rsidP="00D44A84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Cs/>
          <w:szCs w:val="24"/>
        </w:rPr>
      </w:pPr>
      <w:r w:rsidRPr="00DE16CF">
        <w:rPr>
          <w:rFonts w:eastAsiaTheme="minorHAnsi"/>
          <w:iCs/>
          <w:szCs w:val="24"/>
        </w:rPr>
        <w:t>Zakon o sudovima</w:t>
      </w:r>
    </w:p>
    <w:p w:rsidR="00D44A84" w:rsidRPr="00DE16CF" w:rsidRDefault="00D44A84" w:rsidP="00D44A84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Cs/>
          <w:szCs w:val="24"/>
        </w:rPr>
      </w:pPr>
      <w:r w:rsidRPr="00DE16CF">
        <w:rPr>
          <w:rFonts w:eastAsiaTheme="minorHAnsi"/>
          <w:iCs/>
          <w:szCs w:val="24"/>
        </w:rPr>
        <w:t>Zakon o područjima i sjedištima sudova</w:t>
      </w:r>
    </w:p>
    <w:p w:rsidR="00D44A84" w:rsidRPr="00DE16CF" w:rsidRDefault="00D44A84" w:rsidP="00D44A84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Cs/>
          <w:szCs w:val="24"/>
        </w:rPr>
      </w:pPr>
    </w:p>
    <w:p w:rsidR="00D44A84" w:rsidRPr="00DE16CF" w:rsidRDefault="00D44A84" w:rsidP="00D44A84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Cs/>
          <w:szCs w:val="24"/>
        </w:rPr>
      </w:pPr>
    </w:p>
    <w:p w:rsidR="00D44A84" w:rsidRPr="00DE16CF" w:rsidRDefault="00D44A84" w:rsidP="00D44A84">
      <w:pPr>
        <w:spacing w:after="20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DE16CF">
        <w:rPr>
          <w:rFonts w:ascii="Times New Roman" w:hAnsi="Times New Roman" w:cs="Times New Roman"/>
          <w:i/>
          <w:szCs w:val="24"/>
        </w:rPr>
        <w:t>-Usklađeni ciljevi, strategije i programi s dokumentima dugoročnog razvoja</w:t>
      </w:r>
    </w:p>
    <w:p w:rsidR="00D44A84" w:rsidRPr="00DE16CF" w:rsidRDefault="00D44A84" w:rsidP="00D44A84">
      <w:pPr>
        <w:ind w:firstLine="708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E16CF">
        <w:rPr>
          <w:rFonts w:ascii="Times New Roman" w:hAnsi="Times New Roman" w:cs="Times New Roman"/>
          <w:color w:val="000000" w:themeColor="text1"/>
          <w:szCs w:val="24"/>
        </w:rPr>
        <w:t xml:space="preserve">Pojačat će se nadzor u pogledu ažurnosti poduzimanja radnji u svakom pojedinom spisu, te će se inzistirati na većoj kvaliteti odluka. </w:t>
      </w:r>
    </w:p>
    <w:p w:rsidR="00D44A84" w:rsidRPr="00DE16CF" w:rsidRDefault="00D44A84" w:rsidP="00D44A84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D44A84" w:rsidRPr="00DE16CF" w:rsidRDefault="00D44A84" w:rsidP="00D44A84">
      <w:pPr>
        <w:ind w:firstLine="708"/>
        <w:rPr>
          <w:rFonts w:ascii="Times New Roman" w:hAnsi="Times New Roman" w:cs="Times New Roman"/>
          <w:color w:val="000000" w:themeColor="text1"/>
          <w:szCs w:val="24"/>
        </w:rPr>
      </w:pPr>
      <w:r w:rsidRPr="00DE16CF">
        <w:rPr>
          <w:rFonts w:ascii="Times New Roman" w:hAnsi="Times New Roman" w:cs="Times New Roman"/>
          <w:color w:val="000000" w:themeColor="text1"/>
          <w:szCs w:val="24"/>
        </w:rPr>
        <w:t>Smanjiti broj starih spisa, maksimalno ažurirati rad u svakom pojedinom spisu, kroz edukacije i sjednice poraditi na većoj kvaliteti rješavanja spisa.</w:t>
      </w:r>
    </w:p>
    <w:p w:rsidR="00D44A84" w:rsidRPr="00DE16CF" w:rsidRDefault="00D44A84" w:rsidP="00D44A84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D44A84" w:rsidRPr="00DE16CF" w:rsidRDefault="00D44A84" w:rsidP="00D44A84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E16CF">
        <w:rPr>
          <w:rFonts w:ascii="Times New Roman" w:hAnsi="Times New Roman" w:cs="Times New Roman"/>
          <w:color w:val="000000" w:themeColor="text1"/>
          <w:szCs w:val="24"/>
        </w:rPr>
        <w:tab/>
        <w:t>Osnovnom aktivnošću osigurati će se sredstva za financiranje rashoda za zaposlene i materijalnih rashoda potrebnih za redovno poslovanje suda.</w:t>
      </w:r>
    </w:p>
    <w:p w:rsidR="00D44A84" w:rsidRPr="00DE16CF" w:rsidRDefault="00D44A84" w:rsidP="00D44A84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/>
          <w:szCs w:val="24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4920"/>
        <w:gridCol w:w="1560"/>
        <w:gridCol w:w="1900"/>
        <w:gridCol w:w="1660"/>
      </w:tblGrid>
      <w:tr w:rsidR="00D44A84" w:rsidRPr="00DE16CF" w:rsidTr="00F70968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84" w:rsidRPr="00DE16CF" w:rsidRDefault="00D44A84" w:rsidP="00F70968">
            <w:pPr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84" w:rsidRPr="00DE16CF" w:rsidRDefault="00D44A84" w:rsidP="00F70968">
            <w:pPr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84" w:rsidRPr="00DE16CF" w:rsidRDefault="00D44A84" w:rsidP="00F70968">
            <w:pPr>
              <w:rPr>
                <w:rFonts w:ascii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84" w:rsidRPr="00DE16CF" w:rsidRDefault="00D44A84" w:rsidP="00F70968">
            <w:pPr>
              <w:rPr>
                <w:rFonts w:ascii="Times New Roman" w:hAnsi="Times New Roman" w:cs="Times New Roman"/>
                <w:szCs w:val="24"/>
                <w:lang w:eastAsia="hr-HR"/>
              </w:rPr>
            </w:pPr>
          </w:p>
        </w:tc>
      </w:tr>
    </w:tbl>
    <w:p w:rsidR="00D44A84" w:rsidRPr="00DE16CF" w:rsidRDefault="00D44A84" w:rsidP="00D44A84">
      <w:pPr>
        <w:jc w:val="both"/>
        <w:rPr>
          <w:rFonts w:ascii="Times New Roman" w:hAnsi="Times New Roman" w:cs="Times New Roman"/>
          <w:szCs w:val="24"/>
        </w:rPr>
      </w:pPr>
    </w:p>
    <w:p w:rsidR="00D44A84" w:rsidRPr="00DE16CF" w:rsidRDefault="00D44A84" w:rsidP="00D44A84">
      <w:pPr>
        <w:spacing w:after="200"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DE16CF">
        <w:rPr>
          <w:rFonts w:ascii="Times New Roman" w:hAnsi="Times New Roman" w:cs="Times New Roman"/>
          <w:i/>
          <w:szCs w:val="24"/>
        </w:rPr>
        <w:t>-Izvještaj o postignutim ciljevima i rezultatima programa temeljenim na pokazateljima uspješnosti iz nadležnosti proračunskog korisnika u prethodnoj godini</w:t>
      </w:r>
    </w:p>
    <w:p w:rsidR="00D44A84" w:rsidRPr="00DE16CF" w:rsidRDefault="00D44A84" w:rsidP="00D44A84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/>
          <w:szCs w:val="24"/>
        </w:rPr>
      </w:pPr>
    </w:p>
    <w:p w:rsidR="00D44A84" w:rsidRPr="00DE16CF" w:rsidRDefault="00D44A84" w:rsidP="00D44A84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/>
          <w:szCs w:val="24"/>
        </w:rPr>
      </w:pPr>
      <w:r w:rsidRPr="00DE16CF">
        <w:rPr>
          <w:rFonts w:eastAsiaTheme="minorHAnsi"/>
          <w:i/>
          <w:szCs w:val="24"/>
        </w:rPr>
        <w:t>Pokazatelj učinka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371"/>
        <w:gridCol w:w="1498"/>
        <w:gridCol w:w="1100"/>
        <w:gridCol w:w="1245"/>
        <w:gridCol w:w="1143"/>
        <w:gridCol w:w="1241"/>
        <w:gridCol w:w="1241"/>
        <w:gridCol w:w="1241"/>
      </w:tblGrid>
      <w:tr w:rsidR="00D44A84" w:rsidRPr="00DE16CF" w:rsidTr="00F70968">
        <w:trPr>
          <w:trHeight w:val="915"/>
        </w:trPr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Pokazatelj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učinka</w:t>
            </w:r>
            <w:proofErr w:type="spellEnd"/>
          </w:p>
        </w:tc>
        <w:tc>
          <w:tcPr>
            <w:tcW w:w="14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Definicija</w:t>
            </w:r>
            <w:proofErr w:type="spellEnd"/>
          </w:p>
        </w:tc>
        <w:tc>
          <w:tcPr>
            <w:tcW w:w="9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Jedinica</w:t>
            </w:r>
            <w:proofErr w:type="spellEnd"/>
          </w:p>
        </w:tc>
        <w:tc>
          <w:tcPr>
            <w:tcW w:w="11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Polazna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vrijednost</w:t>
            </w:r>
            <w:proofErr w:type="spellEnd"/>
          </w:p>
        </w:tc>
        <w:tc>
          <w:tcPr>
            <w:tcW w:w="9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Izvor podataka</w:t>
            </w:r>
          </w:p>
        </w:tc>
        <w:tc>
          <w:tcPr>
            <w:tcW w:w="11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Ciljana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vrijednost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(2023.)</w:t>
            </w:r>
          </w:p>
        </w:tc>
        <w:tc>
          <w:tcPr>
            <w:tcW w:w="10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Ciljana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vrijednost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(2024.)</w:t>
            </w:r>
          </w:p>
        </w:tc>
        <w:tc>
          <w:tcPr>
            <w:tcW w:w="11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Ciljana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vrijednost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(2025.)</w:t>
            </w:r>
          </w:p>
        </w:tc>
      </w:tr>
      <w:tr w:rsidR="00D44A84" w:rsidRPr="00DE16CF" w:rsidTr="00F70968">
        <w:trPr>
          <w:trHeight w:val="1800"/>
        </w:trPr>
        <w:tc>
          <w:tcPr>
            <w:tcW w:w="13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Udio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riješenih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u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broju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primljenih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predmeta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Udio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riješenih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predmeta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u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odnosu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na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broj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primljenih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predmeta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Postotak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Sudska uprava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108</w:t>
            </w:r>
          </w:p>
        </w:tc>
      </w:tr>
    </w:tbl>
    <w:p w:rsidR="00D44A84" w:rsidRPr="00DE16CF" w:rsidRDefault="00D44A84" w:rsidP="00D44A84">
      <w:pPr>
        <w:spacing w:after="200"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D44A84" w:rsidRPr="00DE16CF" w:rsidRDefault="00D44A84" w:rsidP="00D44A84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/>
          <w:szCs w:val="24"/>
        </w:rPr>
      </w:pPr>
      <w:r w:rsidRPr="00DE16CF">
        <w:rPr>
          <w:rFonts w:eastAsiaTheme="minorHAnsi"/>
          <w:i/>
          <w:szCs w:val="24"/>
        </w:rPr>
        <w:t>Pokazatelj rezultata</w:t>
      </w:r>
    </w:p>
    <w:p w:rsidR="00D44A84" w:rsidRPr="00DE16CF" w:rsidRDefault="00D44A84" w:rsidP="00D44A84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i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5"/>
        <w:gridCol w:w="1979"/>
        <w:gridCol w:w="960"/>
        <w:gridCol w:w="1180"/>
        <w:gridCol w:w="1174"/>
        <w:gridCol w:w="1220"/>
        <w:gridCol w:w="1360"/>
        <w:gridCol w:w="912"/>
      </w:tblGrid>
      <w:tr w:rsidR="00D44A84" w:rsidRPr="00DE16CF" w:rsidTr="00F70968">
        <w:trPr>
          <w:trHeight w:val="915"/>
        </w:trPr>
        <w:tc>
          <w:tcPr>
            <w:tcW w:w="12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Pokazatelj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učinka</w:t>
            </w:r>
            <w:proofErr w:type="spellEnd"/>
          </w:p>
        </w:tc>
        <w:tc>
          <w:tcPr>
            <w:tcW w:w="197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Definicija</w:t>
            </w:r>
            <w:proofErr w:type="spellEnd"/>
          </w:p>
        </w:tc>
        <w:tc>
          <w:tcPr>
            <w:tcW w:w="9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Jedinica</w:t>
            </w:r>
            <w:proofErr w:type="spellEnd"/>
          </w:p>
        </w:tc>
        <w:tc>
          <w:tcPr>
            <w:tcW w:w="11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Polazna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vrijednost</w:t>
            </w:r>
            <w:proofErr w:type="spellEnd"/>
          </w:p>
        </w:tc>
        <w:tc>
          <w:tcPr>
            <w:tcW w:w="117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Izvor podataka</w:t>
            </w:r>
          </w:p>
        </w:tc>
        <w:tc>
          <w:tcPr>
            <w:tcW w:w="12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Ciljana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vrijednost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(2023.)</w:t>
            </w:r>
          </w:p>
        </w:tc>
        <w:tc>
          <w:tcPr>
            <w:tcW w:w="13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Ciljana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vrijednost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(2024.)</w:t>
            </w:r>
          </w:p>
        </w:tc>
        <w:tc>
          <w:tcPr>
            <w:tcW w:w="91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Ciljana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vrijednost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(2025.)</w:t>
            </w:r>
          </w:p>
        </w:tc>
      </w:tr>
      <w:tr w:rsidR="00D44A84" w:rsidRPr="00DE16CF" w:rsidTr="00F70968">
        <w:trPr>
          <w:trHeight w:val="1977"/>
        </w:trPr>
        <w:tc>
          <w:tcPr>
            <w:tcW w:w="12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Smanjenje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neriješenih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predmeta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Smanjenje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broja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neriješenih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predmeta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u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odnosu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na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broj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neriješenih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predmeta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na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kraju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prethodne</w:t>
            </w:r>
            <w:proofErr w:type="spellEnd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 xml:space="preserve"> </w:t>
            </w: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godine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proofErr w:type="spellStart"/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Broj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530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  <w:t>Sudska uprava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600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hideMark/>
          </w:tcPr>
          <w:p w:rsidR="00D44A84" w:rsidRPr="00DE16CF" w:rsidRDefault="00D44A84" w:rsidP="00F70968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r-HR"/>
              </w:rPr>
            </w:pPr>
            <w:r w:rsidRPr="00DE16CF">
              <w:rPr>
                <w:rFonts w:ascii="Times New Roman" w:hAnsi="Times New Roman" w:cs="Times New Roman"/>
                <w:color w:val="000000"/>
                <w:szCs w:val="24"/>
                <w:lang w:val="en-GB" w:eastAsia="hr-HR"/>
              </w:rPr>
              <w:t>700</w:t>
            </w:r>
          </w:p>
        </w:tc>
      </w:tr>
    </w:tbl>
    <w:p w:rsidR="00D44A84" w:rsidRPr="00DE16CF" w:rsidRDefault="00D44A84" w:rsidP="00D44A84">
      <w:pPr>
        <w:spacing w:after="200"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D44A84" w:rsidRPr="00DE16CF" w:rsidRDefault="00D44A84" w:rsidP="00D44A84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D44A84" w:rsidRDefault="00D44A84" w:rsidP="00D44A84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DE16CF">
        <w:rPr>
          <w:rFonts w:ascii="Times New Roman" w:hAnsi="Times New Roman" w:cs="Times New Roman"/>
          <w:color w:val="000000" w:themeColor="text1"/>
          <w:szCs w:val="24"/>
        </w:rPr>
        <w:tab/>
        <w:t xml:space="preserve">U izvršenju programa sudjelovat će sadašnji kadar zaposlenih u Trgovačkom sudu u Splitu. Suci i savjetnici su raspoređeni u sudske odjele tako da je zadržana specijalizacija rada, te im je omogućena dobra edukacija. Edukacije sudaca i službenika od iznimne su važnosti  za postizanje ciljeva svakog proračunskog korisnika. </w:t>
      </w:r>
    </w:p>
    <w:p w:rsidR="00DE16CF" w:rsidRDefault="00DE16CF" w:rsidP="00D44A84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DE16CF" w:rsidRDefault="00DE16CF" w:rsidP="00D44A84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DE16CF" w:rsidRDefault="00DE16CF" w:rsidP="00D44A84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DE16CF" w:rsidRPr="00DE16CF" w:rsidRDefault="00DE16CF" w:rsidP="00D44A84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D44A84" w:rsidRPr="00DE16CF" w:rsidRDefault="00D44A84" w:rsidP="00D44A84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DE16CF">
        <w:rPr>
          <w:b/>
          <w:szCs w:val="24"/>
        </w:rPr>
        <w:t>Organizacijske promjene</w:t>
      </w:r>
    </w:p>
    <w:p w:rsidR="00DE16CF" w:rsidRPr="00DE16CF" w:rsidRDefault="00DE16CF" w:rsidP="00DE16CF">
      <w:pPr>
        <w:pStyle w:val="Odlomakpopisa"/>
        <w:spacing w:after="200" w:line="276" w:lineRule="auto"/>
        <w:ind w:left="1080"/>
        <w:jc w:val="both"/>
        <w:rPr>
          <w:szCs w:val="24"/>
        </w:rPr>
      </w:pPr>
    </w:p>
    <w:p w:rsidR="00DE16CF" w:rsidRPr="00DE16CF" w:rsidRDefault="00DE16CF" w:rsidP="00DE16CF">
      <w:pPr>
        <w:pStyle w:val="Odlomakpopisa"/>
        <w:spacing w:after="200" w:line="276" w:lineRule="auto"/>
        <w:ind w:left="1080" w:firstLine="336"/>
        <w:jc w:val="both"/>
        <w:rPr>
          <w:szCs w:val="24"/>
        </w:rPr>
      </w:pPr>
      <w:r w:rsidRPr="00DE16CF">
        <w:rPr>
          <w:szCs w:val="24"/>
        </w:rPr>
        <w:t>Trgovački sud u Splitu nije imao statusnih promjena u odnosu na prethodno proračunsko razdoblje, te se iste ne očekuju ni u razdoblju 2023.-2025.</w:t>
      </w:r>
    </w:p>
    <w:p w:rsidR="00D44A84" w:rsidRDefault="00D44A84" w:rsidP="002F2B42">
      <w:pPr>
        <w:spacing w:after="200" w:line="276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DE16CF" w:rsidRPr="00C35805" w:rsidRDefault="00DE16CF" w:rsidP="00DE16CF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C35805">
        <w:rPr>
          <w:b/>
          <w:szCs w:val="24"/>
        </w:rPr>
        <w:t>Financijski plan za 2023</w:t>
      </w:r>
      <w:r w:rsidR="00C35805">
        <w:rPr>
          <w:b/>
          <w:szCs w:val="24"/>
        </w:rPr>
        <w:t>.</w:t>
      </w:r>
      <w:r w:rsidRPr="00C35805">
        <w:rPr>
          <w:b/>
          <w:szCs w:val="24"/>
        </w:rPr>
        <w:t xml:space="preserve"> </w:t>
      </w:r>
      <w:r w:rsidR="002C4DE3">
        <w:rPr>
          <w:b/>
          <w:szCs w:val="24"/>
        </w:rPr>
        <w:t>–</w:t>
      </w:r>
      <w:r w:rsidRPr="00C35805">
        <w:rPr>
          <w:b/>
          <w:szCs w:val="24"/>
        </w:rPr>
        <w:t xml:space="preserve"> o</w:t>
      </w:r>
      <w:r w:rsidR="002C4DE3">
        <w:rPr>
          <w:b/>
          <w:szCs w:val="24"/>
        </w:rPr>
        <w:t>brazloženje posebnog dijela</w:t>
      </w:r>
    </w:p>
    <w:p w:rsidR="00D44A84" w:rsidRDefault="00D44A84" w:rsidP="002F2B42">
      <w:pPr>
        <w:spacing w:after="200" w:line="276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BC15DC" w:rsidRDefault="00BC15DC" w:rsidP="002F2B42">
      <w:pPr>
        <w:spacing w:after="200" w:line="276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Financijski plan Trgovačkog suda u Splitu za 2023</w:t>
      </w:r>
      <w:r w:rsidR="006F5DCE">
        <w:rPr>
          <w:rFonts w:ascii="Times New Roman" w:hAnsi="Times New Roman" w:cs="Times New Roman"/>
          <w:szCs w:val="24"/>
        </w:rPr>
        <w:t>.iznosi ukupno 1.547.656 EUR-a, a raspoređen je po skupinama rashoda na četvrtoj razini računskog plana.</w:t>
      </w:r>
    </w:p>
    <w:p w:rsidR="00074081" w:rsidRPr="009242A8" w:rsidRDefault="00797FDE" w:rsidP="00074081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Plan rashoda i izdataka prema izvorima </w:t>
      </w:r>
      <w:r w:rsidR="00074081" w:rsidRPr="009242A8">
        <w:rPr>
          <w:rFonts w:eastAsiaTheme="minorHAnsi"/>
          <w:szCs w:val="24"/>
        </w:rPr>
        <w:t xml:space="preserve"> financiranja:</w:t>
      </w:r>
    </w:p>
    <w:p w:rsidR="00074081" w:rsidRPr="009242A8" w:rsidRDefault="00074081" w:rsidP="00074081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 xml:space="preserve">-11 - opći prihodi i primici </w:t>
      </w:r>
      <w:r w:rsidR="00797FDE">
        <w:rPr>
          <w:rFonts w:eastAsiaTheme="minorHAnsi"/>
          <w:szCs w:val="24"/>
        </w:rPr>
        <w:t>-99,94%</w:t>
      </w:r>
      <w:r w:rsidR="006F5DCE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/</w:t>
      </w:r>
      <w:r w:rsidR="00797FDE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1.546.727</w:t>
      </w:r>
      <w:r w:rsidR="00797FDE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EUR</w:t>
      </w:r>
    </w:p>
    <w:p w:rsidR="00074081" w:rsidRPr="009242A8" w:rsidRDefault="00074081" w:rsidP="00074081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>-31 - vlastiti prihodi</w:t>
      </w:r>
      <w:r w:rsidR="00797FDE">
        <w:rPr>
          <w:rFonts w:eastAsiaTheme="minorHAnsi"/>
          <w:szCs w:val="24"/>
        </w:rPr>
        <w:t xml:space="preserve"> </w:t>
      </w:r>
      <w:r w:rsidRPr="009242A8">
        <w:rPr>
          <w:rFonts w:eastAsiaTheme="minorHAnsi"/>
          <w:szCs w:val="24"/>
        </w:rPr>
        <w:t>-0,051%</w:t>
      </w:r>
      <w:r w:rsidR="006F5DCE">
        <w:rPr>
          <w:rFonts w:eastAsiaTheme="minorHAnsi"/>
          <w:szCs w:val="24"/>
        </w:rPr>
        <w:t xml:space="preserve"> </w:t>
      </w:r>
      <w:r w:rsidRPr="009242A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/796 EUR</w:t>
      </w:r>
    </w:p>
    <w:p w:rsidR="00074081" w:rsidRPr="009242A8" w:rsidRDefault="00074081" w:rsidP="00074081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>-43 – ostali prihodi za posebne namjene – 0,009</w:t>
      </w:r>
      <w:r w:rsidR="00797FDE">
        <w:rPr>
          <w:rFonts w:eastAsiaTheme="minorHAnsi"/>
          <w:szCs w:val="24"/>
        </w:rPr>
        <w:t>%</w:t>
      </w:r>
      <w:r w:rsidR="006F5DCE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/133 EUR</w:t>
      </w:r>
    </w:p>
    <w:p w:rsidR="00074081" w:rsidRDefault="00074081" w:rsidP="002F2B42">
      <w:pPr>
        <w:spacing w:after="200" w:line="276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E5650D" w:rsidRDefault="00AC5CB2" w:rsidP="00E5650D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U financijskom planu 2023.Trgovački sud u Splitu planirao je sredst</w:t>
      </w:r>
      <w:r w:rsidR="006F5DCE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va u skupini 31 – rashodi za zaposlene u iznosu od </w:t>
      </w:r>
      <w:r w:rsidRPr="00AC5CB2">
        <w:rPr>
          <w:rFonts w:ascii="Times New Roman" w:hAnsi="Times New Roman" w:cs="Times New Roman"/>
          <w:b/>
          <w:szCs w:val="24"/>
        </w:rPr>
        <w:t>1.357.091 EUR.</w:t>
      </w:r>
    </w:p>
    <w:p w:rsidR="004A7D3B" w:rsidRPr="00DE16CF" w:rsidRDefault="004A7D3B" w:rsidP="00E5650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4A7D3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Plaće za zaposlene planirali smo prema stvarnim potrebama, sukladno Pravilniku o unutarnjem redu, Zakonu o plaćama sudaca i drugih pravosudnih dužnosnika, Uredbi o nazivima radnih mjesta i koeficijenata složenosti poslova u državnoj službi, Uredbom Vlade o izmjenama i dopunama uredbe o nazivima radnih mjesta i koeficijentima složenosti poslova u državnoj službi. Trgovački sud u Splitu na dan 31.kolovoza 2022.godine ima 78 zaposlenika: 15 dužnosnika, 59 službenika i 4 namještenika. U tijeku je provedba javnog natječaja za jednog administrativnog referenta-sudskog zapisničara na neodređeno vrijeme i jednog višeg sudskog referenta u sudskom registru na neodređeno i to na upražnjena radna mjesta. Ovaj sud je dobio odobrenje za provedbu oglasa za popunjavanje 2 radna mjesta administrativnog referenta-sudskog zapisničara na određeno vrijeme (zamjene za službenice koje su na </w:t>
      </w:r>
      <w:proofErr w:type="spellStart"/>
      <w:r w:rsidRPr="004A7D3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rodiljnom</w:t>
      </w:r>
      <w:proofErr w:type="spellEnd"/>
      <w:r w:rsidRPr="004A7D3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dopustu), te će se do kraja godine provesti postupak.  U veljači 2023.</w:t>
      </w:r>
      <w:r w:rsid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jednom </w:t>
      </w:r>
      <w:r w:rsidRPr="004A7D3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sucu prestaje sudačka dužnost zbog navršenih 70 godina života. Državno sudbeno vijeće je u Plan popunjavanja slobodnih sudačkih mjesta uvrstilo 1 suca za Trgovački sud u Splitu, te se tijekom 2023. očekuje imenovanje jednog suca za ovaj sud. Tijekom 2023. godine jednoj višoj sudskoj savjetnici, te trima službenicama </w:t>
      </w:r>
      <w:proofErr w:type="spellStart"/>
      <w:r w:rsidRPr="004A7D3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prestaja</w:t>
      </w:r>
      <w:proofErr w:type="spellEnd"/>
      <w:r w:rsidRPr="004A7D3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državna služba, koja upražnjena radna mjesta će se popuniti.  Zbog toga su moguća odstupanja.   Jedna dužnosnica planira dio godine raditi pola radnog vremena. </w:t>
      </w:r>
    </w:p>
    <w:p w:rsidR="004A7D3B" w:rsidRPr="00E739CE" w:rsidRDefault="004A7D3B" w:rsidP="004A7D3B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4A7D3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Očekuje se digitalizacija (skeniranje) zbirke isprava Sudskog registra, pa će se u tom slučaju ukazati potreba za prekovremenim radom. Planirana su sredstva za dodatna ulaganja na građevinskim objektima, koja se izvode izvan radnog vremena i subotom, te radi kontrole i nadgledanja njihovog rada javlja se potreba za  prekovremenim radom službenika i namještenika. Doprinose za obvezno zdravstveno osiguranje izračunali smo prema propisanoj stopi od 16.50% (obračun je umanjen za 3 zaposlenika koji su prijavljeni kao mlade osobe </w:t>
      </w:r>
      <w:r w:rsidRPr="004A7D3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lastRenderedPageBreak/>
        <w:t xml:space="preserve">prema odredbama Zakona o doprinosima). </w:t>
      </w:r>
      <w:r w:rsidRPr="00AC5CB2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U 2023.planirana su sredstva za plaće i doprinose u iznosu od </w:t>
      </w:r>
      <w:r w:rsidRPr="00E739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1.311.965 EUR.</w:t>
      </w:r>
    </w:p>
    <w:p w:rsidR="004A7D3B" w:rsidRDefault="004A7D3B" w:rsidP="004A7D3B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4A7D3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U  listopadu 2022. očekuje se zapošljavanje  jednog administrativnog referenta-sudskog zapisničara i jednog višeg sudskog referenta u sudskom registru. Za studeni 2022.planira se zapošljavanje dva administrativna referenta-sudska zapisničara na određeno vrijeme. Do kraja godine (prosinac 2022.) planira se popuniti radno mjesto viši sudski savjetnik (upražnjeno radno mjesto prestankom službe zaposlenika).</w:t>
      </w:r>
    </w:p>
    <w:p w:rsidR="00C35805" w:rsidRDefault="00C35805" w:rsidP="00C35805">
      <w:pPr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C35805">
        <w:rPr>
          <w:rFonts w:ascii="Times New Roman" w:eastAsia="Times New Roman" w:hAnsi="Times New Roman" w:cs="Times New Roman"/>
          <w:szCs w:val="24"/>
          <w:lang w:eastAsia="hr-HR"/>
        </w:rPr>
        <w:t xml:space="preserve">Ostale rashode za zaposlene planirali smo prema stvarnim potrebama sukladno Kolektivnom ugovorom za državne službenike i namještenike. Predložena sredstva za ostale rashode za zaposlene u 2023. sastoje se od slijedećih isplata:  božićnice i regresa za 66 službenika i namještenika,  dara za djecu prigodom Svetog Nikole za 22 službenika (33 djece), jubilarne nagrade za 6 službenika koji ostvaruju navedeno pravo, otpremnine za 4 službenika, te ukalkulirane ostale rashode za zaposlene (razne potpore i pomoći: posmrtna, bolovanje dulje od 90 dana, rođenje djeteta) za 10 službenika. Prema Zaključku u vezi s izmjenom Pravilnika o porezu na dohodak (NN br.140/22.) najavljena su povećanja neoporezivih primitaka kao što su dar djetetu do 15 godina starosti i prigodne nagrade, no mi smo obračun ostalih rashoda za zaposlene izračunali prema trenutno važećim </w:t>
      </w:r>
      <w:r w:rsidR="00AC5CB2">
        <w:rPr>
          <w:rFonts w:ascii="Times New Roman" w:eastAsia="Times New Roman" w:hAnsi="Times New Roman" w:cs="Times New Roman"/>
          <w:szCs w:val="24"/>
          <w:lang w:eastAsia="hr-HR"/>
        </w:rPr>
        <w:t xml:space="preserve">iznosima. </w:t>
      </w:r>
      <w:r w:rsidR="00AC5CB2" w:rsidRPr="00E739CE">
        <w:rPr>
          <w:rFonts w:ascii="Times New Roman" w:eastAsia="Times New Roman" w:hAnsi="Times New Roman" w:cs="Times New Roman"/>
          <w:szCs w:val="24"/>
          <w:lang w:eastAsia="hr-HR"/>
        </w:rPr>
        <w:t xml:space="preserve">Planirana sredstva za ostale rashode za zaposlene </w:t>
      </w:r>
      <w:r w:rsidRPr="00E739CE">
        <w:rPr>
          <w:rFonts w:ascii="Times New Roman" w:eastAsia="Times New Roman" w:hAnsi="Times New Roman" w:cs="Times New Roman"/>
          <w:szCs w:val="24"/>
          <w:lang w:eastAsia="hr-HR"/>
        </w:rPr>
        <w:t>iznose</w:t>
      </w:r>
      <w:r w:rsidRPr="00AC5CB2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</w:t>
      </w:r>
      <w:r w:rsidRPr="00797FDE">
        <w:rPr>
          <w:rFonts w:ascii="Times New Roman" w:eastAsia="Times New Roman" w:hAnsi="Times New Roman" w:cs="Times New Roman"/>
          <w:szCs w:val="24"/>
          <w:lang w:eastAsia="hr-HR"/>
        </w:rPr>
        <w:t>45.12</w:t>
      </w:r>
      <w:r w:rsidR="00CD5D79" w:rsidRPr="00797FDE">
        <w:rPr>
          <w:rFonts w:ascii="Times New Roman" w:eastAsia="Times New Roman" w:hAnsi="Times New Roman" w:cs="Times New Roman"/>
          <w:szCs w:val="24"/>
          <w:lang w:eastAsia="hr-HR"/>
        </w:rPr>
        <w:t>6</w:t>
      </w:r>
      <w:r w:rsidRPr="00797FDE">
        <w:rPr>
          <w:rFonts w:ascii="Times New Roman" w:eastAsia="Times New Roman" w:hAnsi="Times New Roman" w:cs="Times New Roman"/>
          <w:szCs w:val="24"/>
          <w:lang w:eastAsia="hr-HR"/>
        </w:rPr>
        <w:t xml:space="preserve"> EUR</w:t>
      </w:r>
      <w:r w:rsidRPr="00C35805">
        <w:rPr>
          <w:rFonts w:ascii="Times New Roman" w:eastAsia="Times New Roman" w:hAnsi="Times New Roman" w:cs="Times New Roman"/>
          <w:szCs w:val="24"/>
          <w:lang w:eastAsia="hr-HR"/>
        </w:rPr>
        <w:t>.</w:t>
      </w:r>
    </w:p>
    <w:p w:rsidR="00C35805" w:rsidRDefault="00C35805" w:rsidP="00C35805">
      <w:pPr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</w:p>
    <w:p w:rsidR="00E739CE" w:rsidRDefault="00E739CE" w:rsidP="00C35805">
      <w:pPr>
        <w:ind w:firstLine="708"/>
        <w:rPr>
          <w:rFonts w:ascii="Times New Roman" w:eastAsia="Times New Roman" w:hAnsi="Times New Roman" w:cs="Times New Roman"/>
          <w:b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Materijalni rashodi (skupina  32) su planirani u iznosu od </w:t>
      </w:r>
      <w:r w:rsidRPr="00E739CE">
        <w:rPr>
          <w:rFonts w:ascii="Times New Roman" w:eastAsia="Times New Roman" w:hAnsi="Times New Roman" w:cs="Times New Roman"/>
          <w:b/>
          <w:szCs w:val="24"/>
          <w:lang w:eastAsia="hr-HR"/>
        </w:rPr>
        <w:t>183.313 EUR</w:t>
      </w:r>
      <w:r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iz općih prihoda i primitaka, 796 EUR iz vlastitih prihoda i 133 EUR iz ostalih prihoda za posebne namjene, što je ukupno 184.242 EUR.</w:t>
      </w:r>
    </w:p>
    <w:p w:rsidR="00E739CE" w:rsidRDefault="00E739CE" w:rsidP="00C35805">
      <w:pPr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</w:p>
    <w:p w:rsidR="00C35805" w:rsidRDefault="00C35805" w:rsidP="00C35805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C3580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Naknada za prijevoz na posao i s posla planirali smo prema stvarnim potrebama, u skladu sa Kolektivnim ugovorom. Uračunali smo   povećanje naknade za prijevoz sa 1,00 kn na 1,35 kn.  Javni prijevoz u gradu Splitu je neznatno pojeftinio. Obračunali smo naknadu za prijevoz za dužnosnicu  koja  trenutno koristi pravo na </w:t>
      </w:r>
      <w:proofErr w:type="spellStart"/>
      <w:r w:rsidRPr="00C3580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rodiljni</w:t>
      </w:r>
      <w:proofErr w:type="spellEnd"/>
      <w:r w:rsidRPr="00C3580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dopust. U 2023.planirana su sredstva na poziciji </w:t>
      </w:r>
      <w:r w:rsidR="004E4C2C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naknade za prijevoz u iznosu od</w:t>
      </w:r>
      <w:r w:rsid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 </w:t>
      </w:r>
      <w:r w:rsidRPr="00E739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39.81</w:t>
      </w:r>
      <w:r w:rsidR="00CD5D79" w:rsidRPr="00E739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7</w:t>
      </w:r>
      <w:r w:rsidRPr="00E739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EUR.</w:t>
      </w:r>
    </w:p>
    <w:p w:rsidR="00C35805" w:rsidRPr="00C35805" w:rsidRDefault="00CD5D79" w:rsidP="00C35805">
      <w:pPr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Zatražili smo sredstva n</w:t>
      </w:r>
      <w:r w:rsidR="00C35805" w:rsidRPr="00C3580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a podskupini 322 u iznosu od 53.58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1</w:t>
      </w:r>
      <w:r w:rsidR="00C35805" w:rsidRPr="00C3580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EUR, nema promjena u odnosu na svibanj. Ugovor o </w:t>
      </w:r>
      <w:proofErr w:type="spellStart"/>
      <w:r w:rsidR="00C35805" w:rsidRPr="00C3580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oprskrbi</w:t>
      </w:r>
      <w:proofErr w:type="spellEnd"/>
      <w:r w:rsidR="00C35805" w:rsidRPr="00C3580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="00C35805" w:rsidRPr="00C3580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el.energije</w:t>
      </w:r>
      <w:proofErr w:type="spellEnd"/>
      <w:r w:rsidR="00C35805" w:rsidRPr="00C3580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sklopljen je u 2022.godini, nepovoljniji je od prethodnog, odnosno došlo je do poskupljenja cijena usluge.   Uspoređujući lipanj 2021.i 2022.rashodi za energiju su porasli za 179,94%, no to nije realno poskupljenje. Trgovačkom sudu u Splitu zbog kvara  klimatizacijskog sustava u 2021.rashodi za energiju iz tog razdoblja nisu usporedivi sa onima iz tekuće godine jer je u međuvremenu ugrađen novi klimatizacijski sustav.  Pozicija 3231-poštanske usluge zaključili smo novi  ugovor u 2022., cijene usluga su se povećale ,  3233-zbog odlaska u mirovinu četiri službenice bit će potrebno objaviti  javne natječaje za zapošljavanje, 3235-prijelaz sa korištenja vlastite opreme na </w:t>
      </w:r>
      <w:proofErr w:type="spellStart"/>
      <w:r w:rsidR="00C35805" w:rsidRPr="00C3580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najm</w:t>
      </w:r>
      <w:proofErr w:type="spellEnd"/>
      <w:r w:rsidR="00C35805" w:rsidRPr="00C3580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iste, ali ne u cijelosti. Ukupno smo planirali sredstva na poziciji 323 - Rashodi za usluge u iznosu od 77.64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4</w:t>
      </w:r>
      <w:r w:rsidR="00C35805" w:rsidRPr="00C3580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EUR (na tekuće održavanje odnosi se 9.29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1</w:t>
      </w:r>
      <w:r w:rsidR="00C35805" w:rsidRPr="00C3580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EUR). </w:t>
      </w:r>
      <w:r w:rsidR="004E4C2C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Sud je sklopio slijedeće ugovore: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P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Ugovor za najam uređaja i pisača, vrijedi  do travnja 2023., Ugovor o nabavi poštanskih usluga - grupa </w:t>
      </w:r>
      <w:proofErr w:type="spellStart"/>
      <w:r w:rsidRP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Ai</w:t>
      </w:r>
      <w:proofErr w:type="spellEnd"/>
      <w:r w:rsidRP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B - vrijed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i</w:t>
      </w:r>
      <w:r w:rsidRP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do veljače 2024., Ugovor o opskrbi </w:t>
      </w:r>
      <w:proofErr w:type="spellStart"/>
      <w:r w:rsidRP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el.energ</w:t>
      </w:r>
      <w:proofErr w:type="spellEnd"/>
      <w:r w:rsidRP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., ožujak 2024., Ugovor za </w:t>
      </w:r>
      <w:proofErr w:type="spellStart"/>
      <w:r w:rsidRP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elektr.komun.usl.u</w:t>
      </w:r>
      <w:proofErr w:type="spellEnd"/>
      <w:r w:rsidRP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nepokretnoj mreži,  vrijedi do svibnja 2024., Ugovor o nabavi tonera, vrijedi do prosinca 2022., Ugovor o </w:t>
      </w:r>
      <w:proofErr w:type="spellStart"/>
      <w:r w:rsidRP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odg.pl.obj.oglasa</w:t>
      </w:r>
      <w:proofErr w:type="spellEnd"/>
      <w:r w:rsidRP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jav.nab.i</w:t>
      </w:r>
      <w:proofErr w:type="spellEnd"/>
      <w:r w:rsidRP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ost.oglasa</w:t>
      </w:r>
      <w:proofErr w:type="spellEnd"/>
      <w:r w:rsidRP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u NN, vrijedi do listopada 2022.</w:t>
      </w:r>
    </w:p>
    <w:p w:rsidR="00C35805" w:rsidRPr="00DE16CF" w:rsidRDefault="00C35805" w:rsidP="004A7D3B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4A7D3B" w:rsidRPr="00DE16CF" w:rsidRDefault="004A7D3B" w:rsidP="004A7D3B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4A7D3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Redovno održavanje novog klimatizacijskog sustava, usluge održavanja zgrade jer nemamo domara. U 2023.planirana sredstva za tekuće održavanje iznosi </w:t>
      </w:r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9.291 EUR.</w:t>
      </w:r>
    </w:p>
    <w:p w:rsidR="004A7D3B" w:rsidRPr="00DE16CF" w:rsidRDefault="004A7D3B" w:rsidP="004A7D3B">
      <w:pPr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4A7D3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Ugovor </w:t>
      </w:r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o nabavi usluge redovno </w:t>
      </w:r>
      <w:r w:rsidRPr="004A7D3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preventivn</w:t>
      </w:r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og i iznenadnog održavanja unutarnje </w:t>
      </w:r>
      <w:r w:rsidRPr="004A7D3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i vanjs</w:t>
      </w:r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ke </w:t>
      </w:r>
      <w:r w:rsidRPr="004A7D3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klima jedinica, vrijedi do prosinca 2022., ali smo obvezni produživati ugovor do isteka garancije (5 godina)</w:t>
      </w:r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</w:p>
    <w:p w:rsidR="004A7D3B" w:rsidRPr="00DE16CF" w:rsidRDefault="004A7D3B" w:rsidP="004A7D3B">
      <w:pPr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4A7D3B" w:rsidRPr="00BC15DC" w:rsidRDefault="004A7D3B" w:rsidP="004A7D3B">
      <w:pPr>
        <w:ind w:firstLine="708"/>
        <w:rPr>
          <w:rFonts w:ascii="Times New Roman" w:eastAsia="Times New Roman" w:hAnsi="Times New Roman" w:cs="Times New Roman"/>
          <w:b/>
          <w:color w:val="000000"/>
          <w:szCs w:val="24"/>
          <w:lang w:eastAsia="hr-HR"/>
        </w:rPr>
      </w:pPr>
      <w:r w:rsidRPr="004A7D3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U 2023.planiramo  dodatna ulaganja na građevinskim objektima. Dodatna ulaganja povezana su sa nabavom komunikacijske opreme. Telefoni su zastarjeli, te je u slučaju kvara i nemogućnosti popravka teško nabaviti druge, jer ih više nema na tržištu. Nabava novih telefona će uvjetovati i nabavu nove centrale, kao i radovima na instalacijama. </w:t>
      </w:r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Planirana sredstva za </w:t>
      </w:r>
      <w:r w:rsidR="00BC15DC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skupinu </w:t>
      </w:r>
      <w:r w:rsidR="00BC15DC" w:rsidRPr="00BC15DC">
        <w:rPr>
          <w:rFonts w:ascii="Times New Roman" w:eastAsia="Times New Roman" w:hAnsi="Times New Roman" w:cs="Times New Roman"/>
          <w:b/>
          <w:color w:val="000000"/>
          <w:szCs w:val="24"/>
          <w:lang w:eastAsia="hr-HR"/>
        </w:rPr>
        <w:t>45 -</w:t>
      </w:r>
      <w:r w:rsidR="00BC15DC" w:rsidRPr="00BC15DC">
        <w:rPr>
          <w:rFonts w:ascii="Times New Roman" w:hAnsi="Times New Roman" w:cs="Times New Roman"/>
          <w:b/>
          <w:szCs w:val="24"/>
        </w:rPr>
        <w:t xml:space="preserve"> rashodi za dodatna ulaganja na nefinancijskoj imovini</w:t>
      </w:r>
      <w:r w:rsidRPr="00BC15DC">
        <w:rPr>
          <w:rFonts w:ascii="Times New Roman" w:eastAsia="Times New Roman" w:hAnsi="Times New Roman" w:cs="Times New Roman"/>
          <w:b/>
          <w:color w:val="000000"/>
          <w:szCs w:val="24"/>
          <w:lang w:eastAsia="hr-HR"/>
        </w:rPr>
        <w:t xml:space="preserve"> iznose </w:t>
      </w:r>
      <w:r w:rsidR="003107AB" w:rsidRPr="00BC15DC">
        <w:rPr>
          <w:rFonts w:ascii="Times New Roman" w:eastAsia="Times New Roman" w:hAnsi="Times New Roman" w:cs="Times New Roman"/>
          <w:b/>
          <w:color w:val="000000"/>
          <w:szCs w:val="24"/>
          <w:lang w:eastAsia="hr-HR"/>
        </w:rPr>
        <w:t>1.062</w:t>
      </w:r>
      <w:r w:rsidRPr="00BC15DC">
        <w:rPr>
          <w:rFonts w:ascii="Times New Roman" w:eastAsia="Times New Roman" w:hAnsi="Times New Roman" w:cs="Times New Roman"/>
          <w:b/>
          <w:color w:val="000000"/>
          <w:szCs w:val="24"/>
          <w:lang w:eastAsia="hr-HR"/>
        </w:rPr>
        <w:t xml:space="preserve"> EUR.</w:t>
      </w:r>
    </w:p>
    <w:p w:rsidR="003107AB" w:rsidRPr="00DE16CF" w:rsidRDefault="003107AB" w:rsidP="004A7D3B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4A7D3B" w:rsidRPr="00BC15DC" w:rsidRDefault="003107AB" w:rsidP="004A7D3B">
      <w:pPr>
        <w:ind w:firstLine="708"/>
        <w:rPr>
          <w:rFonts w:ascii="Times New Roman" w:hAnsi="Times New Roman" w:cs="Times New Roman"/>
          <w:b/>
          <w:color w:val="000000"/>
          <w:szCs w:val="24"/>
        </w:rPr>
      </w:pPr>
      <w:r w:rsidRPr="003107A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Trgovački sud u Splitu zaključio je ugovor o financijskom </w:t>
      </w:r>
      <w:proofErr w:type="spellStart"/>
      <w:r w:rsidRPr="003107A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leasingu</w:t>
      </w:r>
      <w:proofErr w:type="spellEnd"/>
      <w:r w:rsidRPr="003107A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automobila broj 10615</w:t>
      </w:r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18 s OTP </w:t>
      </w:r>
      <w:proofErr w:type="spellStart"/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Leasing</w:t>
      </w:r>
      <w:proofErr w:type="spellEnd"/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d.d.iz</w:t>
      </w:r>
      <w:proofErr w:type="spellEnd"/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Zagreba,koji</w:t>
      </w:r>
      <w:proofErr w:type="spellEnd"/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vrijedi do rujna 2026.</w:t>
      </w:r>
      <w:r w:rsidRPr="003107A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Vezano za nabavu osobnog automobila za 2023.godinu planirali smo </w:t>
      </w:r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3.669 EUR</w:t>
      </w:r>
      <w:r w:rsidRPr="003107A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, na poziciji 3427 </w:t>
      </w:r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–</w:t>
      </w:r>
      <w:r w:rsidRPr="003107A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452 EUR</w:t>
      </w:r>
      <w:r w:rsidRPr="003107A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i 4231 -</w:t>
      </w:r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3.217 EUR</w:t>
      </w:r>
      <w:r w:rsidRPr="003107A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 Planirali smo ulaganje u komunikacijsku opremu, nabava novih telefonskih aparata. Dodatna ulaganja povezana su sa nabavom komunikacij</w:t>
      </w:r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ske opreme. Planirana je nabava komunikacijske </w:t>
      </w:r>
      <w:r w:rsidRPr="003107A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opreme u iznosu od </w:t>
      </w:r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796 EUR</w:t>
      </w:r>
      <w:r w:rsidRPr="003107A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  <w:r w:rsidR="00BC15DC">
        <w:rPr>
          <w:rFonts w:ascii="Times New Roman" w:hAnsi="Times New Roman" w:cs="Times New Roman"/>
          <w:color w:val="000000"/>
          <w:szCs w:val="24"/>
        </w:rPr>
        <w:t xml:space="preserve">. </w:t>
      </w:r>
      <w:r w:rsidR="00BC15DC" w:rsidRPr="00BC15DC">
        <w:rPr>
          <w:rFonts w:ascii="Times New Roman" w:hAnsi="Times New Roman" w:cs="Times New Roman"/>
          <w:b/>
          <w:szCs w:val="24"/>
        </w:rPr>
        <w:t>Skupina 42</w:t>
      </w:r>
      <w:r w:rsidR="00BC15DC">
        <w:rPr>
          <w:rFonts w:ascii="Times New Roman" w:hAnsi="Times New Roman" w:cs="Times New Roman"/>
          <w:szCs w:val="24"/>
        </w:rPr>
        <w:t xml:space="preserve">- rashodi za nabavu dugotrajne imovine ukupno  planirana sredstva iznose </w:t>
      </w:r>
      <w:r w:rsidR="00BC15DC" w:rsidRPr="00BC15DC">
        <w:rPr>
          <w:rFonts w:ascii="Times New Roman" w:hAnsi="Times New Roman" w:cs="Times New Roman"/>
          <w:b/>
          <w:szCs w:val="24"/>
        </w:rPr>
        <w:t>4.013 EUR.</w:t>
      </w:r>
    </w:p>
    <w:p w:rsidR="00E739CE" w:rsidRDefault="00E739CE" w:rsidP="004A7D3B">
      <w:pPr>
        <w:ind w:firstLine="708"/>
        <w:rPr>
          <w:rFonts w:ascii="Times New Roman" w:hAnsi="Times New Roman" w:cs="Times New Roman"/>
          <w:color w:val="000000"/>
          <w:szCs w:val="24"/>
        </w:rPr>
      </w:pPr>
    </w:p>
    <w:p w:rsidR="00E739CE" w:rsidRPr="00DE16CF" w:rsidRDefault="00E739CE" w:rsidP="004A7D3B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C15DC">
        <w:rPr>
          <w:rFonts w:ascii="Times New Roman" w:hAnsi="Times New Roman" w:cs="Times New Roman"/>
          <w:b/>
          <w:color w:val="000000"/>
          <w:szCs w:val="24"/>
        </w:rPr>
        <w:t>Skupina 34</w:t>
      </w:r>
      <w:r>
        <w:rPr>
          <w:rFonts w:ascii="Times New Roman" w:hAnsi="Times New Roman" w:cs="Times New Roman"/>
          <w:color w:val="000000"/>
          <w:szCs w:val="24"/>
        </w:rPr>
        <w:t xml:space="preserve"> – financijski rashodi odnosi se na kamate za primljeni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leasing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(ranije spomenuto) i bankarske usluge. Ukupno su na ovoj poziciji planirana sredstva u iznosu od </w:t>
      </w:r>
      <w:r w:rsidRPr="00E739CE">
        <w:rPr>
          <w:rFonts w:ascii="Times New Roman" w:hAnsi="Times New Roman" w:cs="Times New Roman"/>
          <w:b/>
          <w:color w:val="000000"/>
          <w:szCs w:val="24"/>
        </w:rPr>
        <w:t>1.248 EUR.</w:t>
      </w:r>
    </w:p>
    <w:p w:rsidR="00AA2C74" w:rsidRDefault="00AA2C74">
      <w:pPr>
        <w:rPr>
          <w:rFonts w:ascii="Times New Roman" w:hAnsi="Times New Roman" w:cs="Times New Roman"/>
          <w:szCs w:val="24"/>
        </w:rPr>
      </w:pPr>
    </w:p>
    <w:p w:rsidR="00B82757" w:rsidRPr="00DE16CF" w:rsidRDefault="00B82757" w:rsidP="00B82757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Vlastiti prihodi sastoje se od prihoda od fotokopiranja i </w:t>
      </w:r>
      <w:r w:rsidR="005A1436" w:rsidRPr="005A143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naj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ma</w:t>
      </w:r>
      <w:r w:rsidR="005A1436" w:rsidRPr="005A143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prostora za postavljanje </w:t>
      </w:r>
      <w:proofErr w:type="spellStart"/>
      <w:r w:rsidR="005A1436" w:rsidRPr="005A143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samouslužnog</w:t>
      </w:r>
      <w:proofErr w:type="spellEnd"/>
      <w:r w:rsidR="005A1436" w:rsidRPr="005A143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aparata. Planiramo ostvariti prihode od </w:t>
      </w:r>
      <w:r w:rsidR="005A1436"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796 EUR</w:t>
      </w:r>
      <w:r w:rsidR="005A1436" w:rsidRPr="005A143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  <w:r w:rsidR="005A1436"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Ugovor o najmu p</w:t>
      </w:r>
      <w:r w:rsid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rostora za postavljanje </w:t>
      </w:r>
      <w:proofErr w:type="spellStart"/>
      <w:r w:rsid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samouslužnog</w:t>
      </w:r>
      <w:proofErr w:type="spellEnd"/>
      <w:r w:rsid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="005A1436"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aparata, vrijedi do studenog 2022.</w:t>
      </w:r>
      <w:r w:rsidRPr="00B82757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Ostvarenim vlastitim prihodima podmirit ćemo rashode za nabavu uredskog materijala, usluge tekućeg i investicijskog održavanja, zakupnine i najamnine, reprezentacije i ostale nespomenute rashode poslovanja.</w:t>
      </w:r>
    </w:p>
    <w:p w:rsidR="00B82757" w:rsidRPr="00DE16CF" w:rsidRDefault="00B82757" w:rsidP="00B82757">
      <w:pPr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F87910" w:rsidRPr="00DE16CF" w:rsidRDefault="005A1436" w:rsidP="00F87910">
      <w:pPr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5A1436">
        <w:rPr>
          <w:rFonts w:ascii="Times New Roman" w:eastAsia="Times New Roman" w:hAnsi="Times New Roman" w:cs="Times New Roman"/>
          <w:szCs w:val="24"/>
          <w:lang w:eastAsia="hr-HR"/>
        </w:rPr>
        <w:t>Kamate ostvarene od sredstava koja se vode na računima sudova su namjenski prihod državnog proračuna i koriste se za potrebe pravosudnih tijela</w:t>
      </w:r>
      <w:r w:rsidR="00DE16CF" w:rsidRPr="00CD5D79">
        <w:rPr>
          <w:rFonts w:ascii="Times New Roman" w:eastAsia="Times New Roman" w:hAnsi="Times New Roman" w:cs="Times New Roman"/>
          <w:szCs w:val="24"/>
          <w:lang w:eastAsia="hr-HR"/>
        </w:rPr>
        <w:t xml:space="preserve"> (</w:t>
      </w:r>
      <w:r w:rsidR="00DE16CF" w:rsidRP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Zakon o sudovima, NN 28/13 - 60/22</w:t>
      </w:r>
      <w:r w:rsidR="00C35805" w:rsidRP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,</w:t>
      </w:r>
      <w:r w:rsidR="00DE16CF" w:rsidRP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 čl.132.st.5</w:t>
      </w:r>
      <w:r w:rsidR="00C35805" w:rsidRP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).</w:t>
      </w:r>
      <w:r w:rsidRPr="005A1436">
        <w:rPr>
          <w:rFonts w:ascii="Times New Roman" w:eastAsia="Times New Roman" w:hAnsi="Times New Roman" w:cs="Times New Roman"/>
          <w:szCs w:val="24"/>
          <w:lang w:eastAsia="hr-HR"/>
        </w:rPr>
        <w:t xml:space="preserve"> U 2022.godini uplaćeno je od 300.961,87 HRK. Planiramo do kraja ove godine povući sredstva iz proračuna te ih koristiti za tekuće i investicijsko održavanj</w:t>
      </w:r>
      <w:r w:rsidRPr="00CD5D79">
        <w:rPr>
          <w:rFonts w:ascii="Times New Roman" w:eastAsia="Times New Roman" w:hAnsi="Times New Roman" w:cs="Times New Roman"/>
          <w:szCs w:val="24"/>
          <w:lang w:eastAsia="hr-HR"/>
        </w:rPr>
        <w:t>e. Plan prihoda za 2023.iznosi 133 EUR</w:t>
      </w:r>
      <w:r w:rsidRPr="005A1436">
        <w:rPr>
          <w:rFonts w:ascii="Times New Roman" w:eastAsia="Times New Roman" w:hAnsi="Times New Roman" w:cs="Times New Roman"/>
          <w:szCs w:val="24"/>
          <w:lang w:eastAsia="hr-HR"/>
        </w:rPr>
        <w:t>.</w:t>
      </w:r>
      <w:r w:rsidR="00F87910">
        <w:rPr>
          <w:rFonts w:ascii="Times New Roman" w:eastAsia="Times New Roman" w:hAnsi="Times New Roman" w:cs="Times New Roman"/>
          <w:szCs w:val="24"/>
          <w:lang w:eastAsia="hr-HR"/>
        </w:rPr>
        <w:t xml:space="preserve"> Ostvarenim prihodima podmirit ćemo rashode telefona i poštarine.</w:t>
      </w:r>
    </w:p>
    <w:p w:rsidR="00F87910" w:rsidRPr="00166EF5" w:rsidRDefault="00F87910" w:rsidP="00F87910">
      <w:pPr>
        <w:rPr>
          <w:rFonts w:ascii="Times New Roman" w:hAnsi="Times New Roman" w:cs="Times New Roman"/>
          <w:szCs w:val="24"/>
        </w:rPr>
      </w:pPr>
    </w:p>
    <w:p w:rsidR="005A1436" w:rsidRPr="00DE16CF" w:rsidRDefault="005A1436" w:rsidP="00C35805">
      <w:pPr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</w:p>
    <w:p w:rsidR="005A1436" w:rsidRPr="00DE16CF" w:rsidRDefault="005A1436" w:rsidP="005A1436">
      <w:pPr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797FDE" w:rsidRPr="002C4DE3" w:rsidRDefault="00C35805" w:rsidP="005D4D40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2C4DE3">
        <w:rPr>
          <w:b/>
          <w:szCs w:val="24"/>
        </w:rPr>
        <w:t xml:space="preserve">Financijski plan za 2024. </w:t>
      </w:r>
      <w:r w:rsidR="00074081" w:rsidRPr="002C4DE3">
        <w:rPr>
          <w:b/>
          <w:szCs w:val="24"/>
        </w:rPr>
        <w:t>–</w:t>
      </w:r>
      <w:r w:rsidRPr="002C4DE3">
        <w:rPr>
          <w:b/>
          <w:szCs w:val="24"/>
        </w:rPr>
        <w:t xml:space="preserve"> </w:t>
      </w:r>
      <w:r w:rsidR="002C4DE3" w:rsidRPr="00C35805">
        <w:rPr>
          <w:b/>
          <w:szCs w:val="24"/>
        </w:rPr>
        <w:t xml:space="preserve"> o</w:t>
      </w:r>
      <w:r w:rsidR="002C4DE3">
        <w:rPr>
          <w:b/>
          <w:szCs w:val="24"/>
        </w:rPr>
        <w:t>brazloženje posebnog dijela</w:t>
      </w:r>
    </w:p>
    <w:p w:rsidR="006F5DCE" w:rsidRPr="006F5DCE" w:rsidRDefault="00074081" w:rsidP="006F5DCE">
      <w:pPr>
        <w:spacing w:after="200" w:line="276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F5DCE">
        <w:rPr>
          <w:rFonts w:ascii="Times New Roman" w:hAnsi="Times New Roman" w:cs="Times New Roman"/>
          <w:szCs w:val="24"/>
        </w:rPr>
        <w:t xml:space="preserve">Financijski plan </w:t>
      </w:r>
      <w:r w:rsidR="006F5DCE" w:rsidRPr="006F5DCE">
        <w:rPr>
          <w:rFonts w:ascii="Times New Roman" w:hAnsi="Times New Roman" w:cs="Times New Roman"/>
          <w:szCs w:val="24"/>
        </w:rPr>
        <w:t>Trgovačkog suda u Splitu za 2024</w:t>
      </w:r>
      <w:r w:rsidRPr="006F5DCE">
        <w:rPr>
          <w:rFonts w:ascii="Times New Roman" w:hAnsi="Times New Roman" w:cs="Times New Roman"/>
          <w:szCs w:val="24"/>
        </w:rPr>
        <w:t>.iznosi ukupno 1.632.406</w:t>
      </w:r>
      <w:r w:rsidR="006F5DCE" w:rsidRPr="006F5DCE">
        <w:rPr>
          <w:rFonts w:ascii="Times New Roman" w:hAnsi="Times New Roman" w:cs="Times New Roman"/>
          <w:szCs w:val="24"/>
        </w:rPr>
        <w:t xml:space="preserve"> EUR-a, a raspoređen je po skupinama rashoda na četvrtoj razini računskog plana.</w:t>
      </w:r>
    </w:p>
    <w:p w:rsidR="00074081" w:rsidRPr="00074081" w:rsidRDefault="00074081" w:rsidP="00074081">
      <w:pPr>
        <w:pStyle w:val="Odlomakpopisa"/>
        <w:spacing w:after="200" w:line="276" w:lineRule="auto"/>
        <w:ind w:left="1080"/>
        <w:jc w:val="both"/>
        <w:rPr>
          <w:szCs w:val="24"/>
        </w:rPr>
      </w:pPr>
    </w:p>
    <w:p w:rsidR="00797FDE" w:rsidRPr="009242A8" w:rsidRDefault="00797FDE" w:rsidP="00797FDE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Plan rashoda i izdataka prema izvorima </w:t>
      </w:r>
      <w:r w:rsidRPr="009242A8">
        <w:rPr>
          <w:rFonts w:eastAsiaTheme="minorHAnsi"/>
          <w:szCs w:val="24"/>
        </w:rPr>
        <w:t xml:space="preserve"> financiranja:</w:t>
      </w:r>
    </w:p>
    <w:p w:rsidR="00074081" w:rsidRPr="009242A8" w:rsidRDefault="00074081" w:rsidP="00074081">
      <w:pPr>
        <w:pStyle w:val="Odlomakpopisa"/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>Izvori financiranja:</w:t>
      </w:r>
    </w:p>
    <w:p w:rsidR="00074081" w:rsidRPr="009242A8" w:rsidRDefault="00074081" w:rsidP="00074081">
      <w:pPr>
        <w:pStyle w:val="Odlomakpopisa"/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>-11 - opći prihodi i primici-99,94</w:t>
      </w:r>
      <w:r w:rsidR="002649A6">
        <w:rPr>
          <w:rFonts w:eastAsiaTheme="minorHAnsi"/>
          <w:szCs w:val="24"/>
        </w:rPr>
        <w:t>3</w:t>
      </w:r>
      <w:r w:rsidRPr="009242A8">
        <w:rPr>
          <w:rFonts w:eastAsiaTheme="minorHAnsi"/>
          <w:szCs w:val="24"/>
        </w:rPr>
        <w:t>%</w:t>
      </w:r>
      <w:r w:rsidR="004E4C2C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/1.631.477 EUR</w:t>
      </w:r>
    </w:p>
    <w:p w:rsidR="00074081" w:rsidRPr="009242A8" w:rsidRDefault="00074081" w:rsidP="00074081">
      <w:pPr>
        <w:pStyle w:val="Odlomakpopisa"/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>-31 - vlastiti prihodi-0,0</w:t>
      </w:r>
      <w:r w:rsidR="002649A6">
        <w:rPr>
          <w:rFonts w:eastAsiaTheme="minorHAnsi"/>
          <w:szCs w:val="24"/>
        </w:rPr>
        <w:t>49</w:t>
      </w:r>
      <w:r w:rsidRPr="009242A8">
        <w:rPr>
          <w:rFonts w:eastAsiaTheme="minorHAnsi"/>
          <w:szCs w:val="24"/>
        </w:rPr>
        <w:t xml:space="preserve"> </w:t>
      </w:r>
      <w:r w:rsidR="00797FDE">
        <w:rPr>
          <w:rFonts w:eastAsiaTheme="minorHAnsi"/>
          <w:szCs w:val="24"/>
        </w:rPr>
        <w:t>%</w:t>
      </w:r>
      <w:r w:rsidR="004E4C2C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/796 EUR</w:t>
      </w:r>
    </w:p>
    <w:p w:rsidR="00074081" w:rsidRPr="009242A8" w:rsidRDefault="00074081" w:rsidP="00074081">
      <w:pPr>
        <w:pStyle w:val="Odlomakpopisa"/>
        <w:overflowPunct/>
        <w:autoSpaceDE/>
        <w:autoSpaceDN/>
        <w:adjustRightInd/>
        <w:spacing w:after="200" w:line="276" w:lineRule="auto"/>
        <w:ind w:left="1080"/>
        <w:jc w:val="both"/>
        <w:textAlignment w:val="auto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>-43 – ostali prihodi za posebne namjene  – 0,0</w:t>
      </w:r>
      <w:r w:rsidR="002649A6">
        <w:rPr>
          <w:rFonts w:eastAsiaTheme="minorHAnsi"/>
          <w:szCs w:val="24"/>
        </w:rPr>
        <w:t>08</w:t>
      </w:r>
      <w:r w:rsidR="00797FDE">
        <w:rPr>
          <w:rFonts w:eastAsiaTheme="minorHAnsi"/>
          <w:szCs w:val="24"/>
        </w:rPr>
        <w:t>%</w:t>
      </w:r>
      <w:r w:rsidR="006F5DCE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/133 EUR</w:t>
      </w:r>
    </w:p>
    <w:p w:rsidR="00074081" w:rsidRDefault="00074081" w:rsidP="00074081">
      <w:pPr>
        <w:pStyle w:val="Odlomakpopisa"/>
        <w:spacing w:after="200" w:line="276" w:lineRule="auto"/>
        <w:ind w:left="1080"/>
        <w:jc w:val="both"/>
        <w:rPr>
          <w:b/>
          <w:szCs w:val="24"/>
        </w:rPr>
      </w:pPr>
    </w:p>
    <w:p w:rsidR="00074081" w:rsidRDefault="00074081" w:rsidP="00074081">
      <w:pPr>
        <w:pStyle w:val="Odlomakpopisa"/>
        <w:spacing w:after="200" w:line="276" w:lineRule="auto"/>
        <w:ind w:left="1080"/>
        <w:jc w:val="both"/>
        <w:rPr>
          <w:szCs w:val="24"/>
        </w:rPr>
      </w:pPr>
    </w:p>
    <w:p w:rsidR="00074081" w:rsidRPr="00074081" w:rsidRDefault="00074081" w:rsidP="00074081">
      <w:pPr>
        <w:pStyle w:val="Odlomakpopisa"/>
        <w:spacing w:after="200" w:line="276" w:lineRule="auto"/>
        <w:ind w:left="1080"/>
        <w:jc w:val="both"/>
        <w:rPr>
          <w:szCs w:val="24"/>
        </w:rPr>
      </w:pPr>
      <w:r w:rsidRPr="00074081">
        <w:rPr>
          <w:szCs w:val="24"/>
        </w:rPr>
        <w:lastRenderedPageBreak/>
        <w:t>U financijskom planu 202</w:t>
      </w:r>
      <w:r>
        <w:rPr>
          <w:szCs w:val="24"/>
        </w:rPr>
        <w:t>4</w:t>
      </w:r>
      <w:r w:rsidRPr="00074081">
        <w:rPr>
          <w:szCs w:val="24"/>
        </w:rPr>
        <w:t>.Trgovački sud u Splitu planirao je sredst</w:t>
      </w:r>
      <w:r w:rsidR="006F5DCE">
        <w:rPr>
          <w:szCs w:val="24"/>
        </w:rPr>
        <w:t>a</w:t>
      </w:r>
      <w:r w:rsidRPr="00074081">
        <w:rPr>
          <w:szCs w:val="24"/>
        </w:rPr>
        <w:t xml:space="preserve">va u skupini 31 – rashodi za zaposlene u iznosu od </w:t>
      </w:r>
      <w:r w:rsidRPr="00074081">
        <w:rPr>
          <w:b/>
          <w:szCs w:val="24"/>
        </w:rPr>
        <w:t>1.</w:t>
      </w:r>
      <w:r>
        <w:rPr>
          <w:b/>
          <w:szCs w:val="24"/>
        </w:rPr>
        <w:t>421.217</w:t>
      </w:r>
      <w:r w:rsidRPr="00074081">
        <w:rPr>
          <w:b/>
          <w:szCs w:val="24"/>
        </w:rPr>
        <w:t xml:space="preserve"> EUR.</w:t>
      </w:r>
    </w:p>
    <w:p w:rsidR="00074081" w:rsidRPr="00C35805" w:rsidRDefault="00074081" w:rsidP="00074081">
      <w:pPr>
        <w:pStyle w:val="Odlomakpopisa"/>
        <w:spacing w:after="200" w:line="276" w:lineRule="auto"/>
        <w:ind w:left="1080"/>
        <w:jc w:val="both"/>
        <w:rPr>
          <w:b/>
          <w:szCs w:val="24"/>
        </w:rPr>
      </w:pPr>
    </w:p>
    <w:p w:rsidR="00C35805" w:rsidRPr="00166EF5" w:rsidRDefault="00C35805" w:rsidP="00C35805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C3580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Plaće za zaposlene planirali smo prema stvarnim potrebama, sukladno Pravilniku o unutarnjem redu, Zakonu o plaćama sudaca i drugih pravosudnih dužnosnika, Uredbi o nazivima radnih mjesta i koeficijenata složenosti poslova u državnoj službi, Uredbom Vlade o izmjenama i dopunama uredbe o nazivima radnih mjesta i koeficijentima složenosti poslova u državnoj službi. </w:t>
      </w:r>
      <w:r w:rsidR="00166EF5"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Sredstva su planirana na osnovu broja zaposlenih </w:t>
      </w:r>
      <w:r w:rsidR="00F87910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i planu zapošljavanja u rujnu </w:t>
      </w:r>
      <w:r w:rsidR="00166EF5"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202</w:t>
      </w:r>
      <w:r w:rsidR="00F87910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2</w:t>
      </w:r>
      <w:r w:rsidR="00166EF5"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  <w:r w:rsidR="00F87910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(pojašnjenje u planu za 2023.)</w:t>
      </w:r>
      <w:r w:rsidR="00166EF5"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. </w:t>
      </w:r>
      <w:r w:rsidRPr="00C3580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U 2024.planirana su sredstva za plaće i doprinose u iznosu od </w:t>
      </w:r>
      <w:r w:rsidR="00166EF5"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1.376.755 EUR</w:t>
      </w:r>
      <w:r w:rsidRPr="00C3580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</w:p>
    <w:p w:rsidR="00C35805" w:rsidRDefault="00C35805" w:rsidP="00C35805">
      <w:pPr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C35805">
        <w:rPr>
          <w:rFonts w:ascii="Times New Roman" w:eastAsia="Times New Roman" w:hAnsi="Times New Roman" w:cs="Times New Roman"/>
          <w:szCs w:val="24"/>
          <w:lang w:eastAsia="hr-HR"/>
        </w:rPr>
        <w:t>Ostale rashode za zaposlene planirali smo prema stvarnim potrebama sukladno Kolektivnom ugovorom za državne službenike i namještenike . Predložena sredstva za osta</w:t>
      </w:r>
      <w:r w:rsidR="00166EF5" w:rsidRPr="00166EF5">
        <w:rPr>
          <w:rFonts w:ascii="Times New Roman" w:eastAsia="Times New Roman" w:hAnsi="Times New Roman" w:cs="Times New Roman"/>
          <w:szCs w:val="24"/>
          <w:lang w:eastAsia="hr-HR"/>
        </w:rPr>
        <w:t xml:space="preserve">le rashode za zaposlene u 2024.u iznosu od 44.462 EUR </w:t>
      </w:r>
      <w:r w:rsidRPr="00C35805">
        <w:rPr>
          <w:rFonts w:ascii="Times New Roman" w:eastAsia="Times New Roman" w:hAnsi="Times New Roman" w:cs="Times New Roman"/>
          <w:szCs w:val="24"/>
          <w:lang w:eastAsia="hr-HR"/>
        </w:rPr>
        <w:t>sastoje se od slijedećih isplata:  božićnice i regresa za 65 službenika i namještenika,  dara za djecu prigodom Svetog Nikole za 21 službenika (32 djece), jubilarne nagrade za 10 službenika koji ostvaruju navedeno pravo, otpremnine za  2 službenika, te ukalkulirane ostale rashode za zaposlene (razne potpore i pomoći: posmrtna, bolovanje dulje od 90 dana, rođenje djeteta) za 12 službenika. Prema Zaključku u vezi s izmjenom Pravilnika o porezu na dohodak (NN br.140/22.) najavljena su povećanja neoporezivih primitaka kao što su dar djetetu do 15 godina starosti i prigodne nagrade, no mi smo obračun ostalih rashoda za zaposlene izračunali prema trenutno važećim iznosima.</w:t>
      </w:r>
    </w:p>
    <w:p w:rsidR="00074081" w:rsidRDefault="00074081" w:rsidP="00074081">
      <w:pPr>
        <w:ind w:firstLine="708"/>
        <w:rPr>
          <w:rFonts w:ascii="Times New Roman" w:eastAsia="Times New Roman" w:hAnsi="Times New Roman" w:cs="Times New Roman"/>
          <w:b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Materijalni rashodi (skupina  32) su planirani u iznosu od </w:t>
      </w:r>
      <w:r>
        <w:rPr>
          <w:rFonts w:ascii="Times New Roman" w:eastAsia="Times New Roman" w:hAnsi="Times New Roman" w:cs="Times New Roman"/>
          <w:b/>
          <w:szCs w:val="24"/>
          <w:lang w:eastAsia="hr-HR"/>
        </w:rPr>
        <w:t>203.784</w:t>
      </w:r>
      <w:r w:rsidRPr="00E739CE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EUR</w:t>
      </w:r>
      <w:r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iz općih prihoda i primitaka, 796 EUR iz vlastitih prihoda i 133 EUR iz ostalih prihoda za posebne namjene, što je ukupno 204.713 EUR.</w:t>
      </w:r>
    </w:p>
    <w:p w:rsidR="00074081" w:rsidRDefault="00074081" w:rsidP="00074081">
      <w:pPr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74081" w:rsidRPr="00166EF5" w:rsidRDefault="00074081" w:rsidP="00C35805">
      <w:pPr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</w:p>
    <w:p w:rsidR="00166EF5" w:rsidRDefault="00166EF5" w:rsidP="00166EF5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Naknada za prijevoz na posao i s posla planirali smo prema stvarnim potrebama, u skladu sa važećim Kolektivnim ugovorom. Planirana sredstva za naknade iznose 43.533 EUR.</w:t>
      </w:r>
    </w:p>
    <w:p w:rsidR="004E4C2C" w:rsidRPr="00166EF5" w:rsidRDefault="004E4C2C" w:rsidP="00166EF5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166EF5" w:rsidRPr="00166EF5" w:rsidRDefault="00166EF5" w:rsidP="004E4C2C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Zatražili smo sredstva sa podskupini 322 u iznosu od 56.899 EUR, izvršili smo izmjene u odnosu na svibanj, odnosno povećali smo ih. Ugovor o </w:t>
      </w:r>
      <w:proofErr w:type="spellStart"/>
      <w:r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oprskrbi</w:t>
      </w:r>
      <w:proofErr w:type="spellEnd"/>
      <w:r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el.energije</w:t>
      </w:r>
      <w:proofErr w:type="spellEnd"/>
      <w:r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sklopljen je u 2022.godini, nepovoljniji je od prethodnog, odnosno došlo je do poskupljenja cijena usluge.   Iz navedenog razloga izvršili smo povećanje istih.  Pozicija 3231-poštanske usluge zaključili smo novi  ugovor u 2022., cijene usluga su se povećale ,  3233-zbog odlaska u mirovinu četiri službenice bit će potrebno objaviti  javne natječaje za zapošljavanje, 3235-prijelaz sa korištenja vlastite opreme na </w:t>
      </w:r>
      <w:proofErr w:type="spellStart"/>
      <w:r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najm</w:t>
      </w:r>
      <w:proofErr w:type="spellEnd"/>
      <w:r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iste, ali ne u cijelosti,  3236 -zdravstvene usluge su planirane sukladno Kolektivnom ugovoru, uračunati su  povećani iznosi sistematskog pregleda zaposlenika  u iznosu od 1.200,00 kn, te iste za novozaposlene službenike. Ukupno smo planirali sredstva na poziciji 323 - Rashodi za usluge u iznosu od 91.075 EUR. Na tekuće održavanje odnosi se 11.307 EUR, a planirana sredstva utrošiti će se na redovno održavanje novog klimatizacijskog sustava, te usluge održavanja zgrade jer nemamo domara.</w:t>
      </w:r>
    </w:p>
    <w:p w:rsidR="00000C25" w:rsidRPr="00BC15DC" w:rsidRDefault="00166EF5" w:rsidP="00000C25">
      <w:pPr>
        <w:ind w:firstLine="708"/>
        <w:rPr>
          <w:rFonts w:ascii="Times New Roman" w:eastAsia="Times New Roman" w:hAnsi="Times New Roman" w:cs="Times New Roman"/>
          <w:b/>
          <w:color w:val="000000"/>
          <w:szCs w:val="24"/>
          <w:lang w:eastAsia="hr-HR"/>
        </w:rPr>
      </w:pPr>
      <w:r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U 2024.godini planirana su  dodatna ulaganja na građevinskim objektima u iznosu od </w:t>
      </w:r>
      <w:r w:rsidR="00B82757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1.215</w:t>
      </w:r>
      <w:r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EUR. Dodatna ulaganja odnose se na proširenje arhive suda, a nabava ur</w:t>
      </w:r>
      <w:r w:rsidR="00B82757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ed</w:t>
      </w:r>
      <w:r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skog namještaja i opreme povezana su sa istim. Arhiva sudskog registra je trajna arhiva, koja se ne izlučuje i koja se mora čuvati u sudu.</w:t>
      </w:r>
      <w:r w:rsidR="00000C25" w:rsidRPr="00000C2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="00000C25"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Planirana sredstva za </w:t>
      </w:r>
      <w:r w:rsidR="00000C2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skupinu </w:t>
      </w:r>
      <w:r w:rsidR="00000C25" w:rsidRPr="00BC15DC">
        <w:rPr>
          <w:rFonts w:ascii="Times New Roman" w:eastAsia="Times New Roman" w:hAnsi="Times New Roman" w:cs="Times New Roman"/>
          <w:b/>
          <w:color w:val="000000"/>
          <w:szCs w:val="24"/>
          <w:lang w:eastAsia="hr-HR"/>
        </w:rPr>
        <w:t>45 -</w:t>
      </w:r>
      <w:r w:rsidR="00000C25" w:rsidRPr="00BC15DC">
        <w:rPr>
          <w:rFonts w:ascii="Times New Roman" w:hAnsi="Times New Roman" w:cs="Times New Roman"/>
          <w:b/>
          <w:szCs w:val="24"/>
        </w:rPr>
        <w:t xml:space="preserve"> rashodi za dodatna ulaganja na nefinancijskoj imovini</w:t>
      </w:r>
      <w:r w:rsidR="00000C25" w:rsidRPr="00BC15DC">
        <w:rPr>
          <w:rFonts w:ascii="Times New Roman" w:eastAsia="Times New Roman" w:hAnsi="Times New Roman" w:cs="Times New Roman"/>
          <w:b/>
          <w:color w:val="000000"/>
          <w:szCs w:val="24"/>
          <w:lang w:eastAsia="hr-HR"/>
        </w:rPr>
        <w:t xml:space="preserve"> iznose 1.</w:t>
      </w:r>
      <w:r w:rsidR="00000C25">
        <w:rPr>
          <w:rFonts w:ascii="Times New Roman" w:eastAsia="Times New Roman" w:hAnsi="Times New Roman" w:cs="Times New Roman"/>
          <w:b/>
          <w:color w:val="000000"/>
          <w:szCs w:val="24"/>
          <w:lang w:eastAsia="hr-HR"/>
        </w:rPr>
        <w:t>215</w:t>
      </w:r>
      <w:r w:rsidR="00000C25" w:rsidRPr="00BC15DC">
        <w:rPr>
          <w:rFonts w:ascii="Times New Roman" w:eastAsia="Times New Roman" w:hAnsi="Times New Roman" w:cs="Times New Roman"/>
          <w:b/>
          <w:color w:val="000000"/>
          <w:szCs w:val="24"/>
          <w:lang w:eastAsia="hr-HR"/>
        </w:rPr>
        <w:t xml:space="preserve"> EUR.</w:t>
      </w:r>
    </w:p>
    <w:p w:rsidR="00166EF5" w:rsidRPr="00166EF5" w:rsidRDefault="00166EF5" w:rsidP="00166EF5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166EF5" w:rsidRPr="00166EF5" w:rsidRDefault="00166EF5" w:rsidP="00166EF5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000C25" w:rsidRDefault="00B82757" w:rsidP="00000C25">
      <w:pPr>
        <w:ind w:firstLine="708"/>
        <w:rPr>
          <w:rFonts w:ascii="Times New Roman" w:hAnsi="Times New Roman" w:cs="Times New Roman"/>
          <w:b/>
          <w:szCs w:val="24"/>
        </w:rPr>
      </w:pPr>
      <w:r w:rsidRPr="00B82757">
        <w:rPr>
          <w:rFonts w:ascii="Times New Roman" w:eastAsia="Times New Roman" w:hAnsi="Times New Roman" w:cs="Times New Roman"/>
          <w:color w:val="000000"/>
          <w:szCs w:val="24"/>
          <w:lang w:eastAsia="hr-HR"/>
        </w:rPr>
        <w:lastRenderedPageBreak/>
        <w:t xml:space="preserve">Trgovački sud u Splitu zaključio je ugovor o financijskom </w:t>
      </w:r>
      <w:proofErr w:type="spellStart"/>
      <w:r w:rsidRPr="00B82757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leasingu</w:t>
      </w:r>
      <w:proofErr w:type="spellEnd"/>
      <w:r w:rsidRPr="00B82757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automobila broj 1061518 s OTP </w:t>
      </w:r>
      <w:proofErr w:type="spellStart"/>
      <w:r w:rsidRPr="00B82757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Leasing</w:t>
      </w:r>
      <w:proofErr w:type="spellEnd"/>
      <w:r w:rsidRPr="00B82757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B82757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d.d.iz</w:t>
      </w:r>
      <w:proofErr w:type="spellEnd"/>
      <w:r w:rsidRPr="00B82757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Zagreba. Vezano za nabavu osobnog automobila za 2024.godinu planirali smo na poziciji 3427 -321 EUR i   4231 – 3.348 EUR.  Planirali smo ulaganje u uredsku opremu i namještaj u iznosu od 796 EUR,  te dodatna ulaganja na građevinskim objektima. Dodatna ulaganja odnose se na proširenje arhive suda, a nabava </w:t>
      </w:r>
      <w:proofErr w:type="spellStart"/>
      <w:r w:rsidRPr="00B82757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uredkog</w:t>
      </w:r>
      <w:proofErr w:type="spellEnd"/>
      <w:r w:rsidRPr="00B82757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namještaja i opreme povezana su sa istim.</w:t>
      </w:r>
      <w:r w:rsidR="00000C25" w:rsidRPr="00000C25">
        <w:rPr>
          <w:rFonts w:ascii="Times New Roman" w:hAnsi="Times New Roman" w:cs="Times New Roman"/>
          <w:b/>
          <w:szCs w:val="24"/>
        </w:rPr>
        <w:t xml:space="preserve"> </w:t>
      </w:r>
      <w:r w:rsidR="00000C25" w:rsidRPr="00BC15DC">
        <w:rPr>
          <w:rFonts w:ascii="Times New Roman" w:hAnsi="Times New Roman" w:cs="Times New Roman"/>
          <w:b/>
          <w:szCs w:val="24"/>
        </w:rPr>
        <w:t>Skupina 42</w:t>
      </w:r>
      <w:r w:rsidR="00000C25">
        <w:rPr>
          <w:rFonts w:ascii="Times New Roman" w:hAnsi="Times New Roman" w:cs="Times New Roman"/>
          <w:szCs w:val="24"/>
        </w:rPr>
        <w:t xml:space="preserve">- rashodi za nabavu dugotrajne imovine ukupno  planirana sredstva iznose </w:t>
      </w:r>
      <w:r w:rsidR="00000C25" w:rsidRPr="00BC15DC">
        <w:rPr>
          <w:rFonts w:ascii="Times New Roman" w:hAnsi="Times New Roman" w:cs="Times New Roman"/>
          <w:b/>
          <w:szCs w:val="24"/>
        </w:rPr>
        <w:t>4.</w:t>
      </w:r>
      <w:r w:rsidR="00000C25">
        <w:rPr>
          <w:rFonts w:ascii="Times New Roman" w:hAnsi="Times New Roman" w:cs="Times New Roman"/>
          <w:b/>
          <w:szCs w:val="24"/>
        </w:rPr>
        <w:t>144</w:t>
      </w:r>
      <w:r w:rsidR="00000C25" w:rsidRPr="00BC15DC">
        <w:rPr>
          <w:rFonts w:ascii="Times New Roman" w:hAnsi="Times New Roman" w:cs="Times New Roman"/>
          <w:b/>
          <w:szCs w:val="24"/>
        </w:rPr>
        <w:t xml:space="preserve"> EUR.</w:t>
      </w:r>
    </w:p>
    <w:p w:rsidR="00000C25" w:rsidRPr="00BC15DC" w:rsidRDefault="00000C25" w:rsidP="00000C25">
      <w:pPr>
        <w:ind w:firstLine="708"/>
        <w:rPr>
          <w:rFonts w:ascii="Times New Roman" w:hAnsi="Times New Roman" w:cs="Times New Roman"/>
          <w:b/>
          <w:color w:val="000000"/>
          <w:szCs w:val="24"/>
        </w:rPr>
      </w:pPr>
    </w:p>
    <w:p w:rsidR="00000C25" w:rsidRPr="00DE16CF" w:rsidRDefault="00B82757" w:rsidP="00000C25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82757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="00000C25" w:rsidRPr="00BC15DC">
        <w:rPr>
          <w:rFonts w:ascii="Times New Roman" w:hAnsi="Times New Roman" w:cs="Times New Roman"/>
          <w:b/>
          <w:color w:val="000000"/>
          <w:szCs w:val="24"/>
        </w:rPr>
        <w:t>Skupina 34</w:t>
      </w:r>
      <w:r w:rsidR="00000C25">
        <w:rPr>
          <w:rFonts w:ascii="Times New Roman" w:hAnsi="Times New Roman" w:cs="Times New Roman"/>
          <w:color w:val="000000"/>
          <w:szCs w:val="24"/>
        </w:rPr>
        <w:t xml:space="preserve"> – financijski rashodi odnosi se na kamate za primljeni </w:t>
      </w:r>
      <w:proofErr w:type="spellStart"/>
      <w:r w:rsidR="00000C25">
        <w:rPr>
          <w:rFonts w:ascii="Times New Roman" w:hAnsi="Times New Roman" w:cs="Times New Roman"/>
          <w:color w:val="000000"/>
          <w:szCs w:val="24"/>
        </w:rPr>
        <w:t>leasing</w:t>
      </w:r>
      <w:proofErr w:type="spellEnd"/>
      <w:r w:rsidR="00000C25">
        <w:rPr>
          <w:rFonts w:ascii="Times New Roman" w:hAnsi="Times New Roman" w:cs="Times New Roman"/>
          <w:color w:val="000000"/>
          <w:szCs w:val="24"/>
        </w:rPr>
        <w:t xml:space="preserve"> (ranije spomenuto) i bankarske usluge. Ukupno su na ovoj poziciji planirana sredstva u iznosu od </w:t>
      </w:r>
      <w:r w:rsidR="00000C25">
        <w:rPr>
          <w:rFonts w:ascii="Times New Roman" w:hAnsi="Times New Roman" w:cs="Times New Roman"/>
          <w:b/>
          <w:color w:val="000000"/>
          <w:szCs w:val="24"/>
        </w:rPr>
        <w:t>1.117</w:t>
      </w:r>
      <w:r w:rsidR="00000C25" w:rsidRPr="00E739CE">
        <w:rPr>
          <w:rFonts w:ascii="Times New Roman" w:hAnsi="Times New Roman" w:cs="Times New Roman"/>
          <w:b/>
          <w:color w:val="000000"/>
          <w:szCs w:val="24"/>
        </w:rPr>
        <w:t xml:space="preserve"> EUR.</w:t>
      </w:r>
    </w:p>
    <w:p w:rsidR="00B82757" w:rsidRPr="00B82757" w:rsidRDefault="00B82757" w:rsidP="00B82757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166EF5" w:rsidRPr="00166EF5" w:rsidRDefault="00166EF5" w:rsidP="00166EF5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B82757" w:rsidRPr="00DE16CF" w:rsidRDefault="00B82757" w:rsidP="00B82757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Vlastiti prihodi sastoje se od prihoda od fotokopiranja i </w:t>
      </w:r>
      <w:r w:rsidRPr="005A143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naj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ma</w:t>
      </w:r>
      <w:r w:rsidRPr="005A143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prostora za postavljanje </w:t>
      </w:r>
      <w:proofErr w:type="spellStart"/>
      <w:r w:rsidRPr="005A143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samouslužnog</w:t>
      </w:r>
      <w:proofErr w:type="spellEnd"/>
      <w:r w:rsidRPr="005A143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aparata.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Pr="005A143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Planiramo ostvariti prihode od </w:t>
      </w:r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796 EUR</w:t>
      </w:r>
      <w:r w:rsidRPr="005A143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Ugovor o najmu p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rostora za postavljanje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samouslužnog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aparata, vrijedi do studenog 2022.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Ostvarenim vlastitim prihodima podmirit ćemo rashode za nabavu uredskog materijala, usluge tekućeg i investicijskog održavanja, zakupnine i najamnine, reprezentacije i ostale nespomenute rashode poslovanja.</w:t>
      </w:r>
    </w:p>
    <w:p w:rsidR="00B82757" w:rsidRPr="00DE16CF" w:rsidRDefault="00B82757" w:rsidP="00B82757">
      <w:pPr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B82757" w:rsidRPr="00DE16CF" w:rsidRDefault="00B82757" w:rsidP="00B82757">
      <w:pPr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5A1436">
        <w:rPr>
          <w:rFonts w:ascii="Times New Roman" w:eastAsia="Times New Roman" w:hAnsi="Times New Roman" w:cs="Times New Roman"/>
          <w:szCs w:val="24"/>
          <w:lang w:eastAsia="hr-HR"/>
        </w:rPr>
        <w:t>Kamate ostvarene od sredstava koja se vode na računima sudova su namjenski prihod državnog proračuna i koriste se za potrebe pravosudnih tijela</w:t>
      </w:r>
      <w:r w:rsidRPr="00CD5D79">
        <w:rPr>
          <w:rFonts w:ascii="Times New Roman" w:eastAsia="Times New Roman" w:hAnsi="Times New Roman" w:cs="Times New Roman"/>
          <w:szCs w:val="24"/>
          <w:lang w:eastAsia="hr-HR"/>
        </w:rPr>
        <w:t xml:space="preserve"> (</w:t>
      </w:r>
      <w:r w:rsidRP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Zakon o sudovima, NN 28/13 - 60/22,  čl.132.st.5).</w:t>
      </w:r>
      <w:r w:rsidRPr="005A1436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hr-HR"/>
        </w:rPr>
        <w:t>Plan prihoda za 2024</w:t>
      </w:r>
      <w:r w:rsidRPr="00CD5D79">
        <w:rPr>
          <w:rFonts w:ascii="Times New Roman" w:eastAsia="Times New Roman" w:hAnsi="Times New Roman" w:cs="Times New Roman"/>
          <w:szCs w:val="24"/>
          <w:lang w:eastAsia="hr-HR"/>
        </w:rPr>
        <w:t>.iznosi 133 EUR</w:t>
      </w:r>
      <w:r w:rsidRPr="005A1436">
        <w:rPr>
          <w:rFonts w:ascii="Times New Roman" w:eastAsia="Times New Roman" w:hAnsi="Times New Roman" w:cs="Times New Roman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Ostvarenim prihodima podmirit</w:t>
      </w:r>
      <w:r w:rsidR="002C4DE3">
        <w:rPr>
          <w:rFonts w:ascii="Times New Roman" w:eastAsia="Times New Roman" w:hAnsi="Times New Roman" w:cs="Times New Roman"/>
          <w:szCs w:val="24"/>
          <w:lang w:eastAsia="hr-HR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hr-HR"/>
        </w:rPr>
        <w:t xml:space="preserve"> ćemo rashode telefona i poštarine.</w:t>
      </w:r>
    </w:p>
    <w:p w:rsidR="005A1436" w:rsidRDefault="005A1436">
      <w:pPr>
        <w:rPr>
          <w:rFonts w:ascii="Times New Roman" w:hAnsi="Times New Roman" w:cs="Times New Roman"/>
          <w:szCs w:val="24"/>
        </w:rPr>
      </w:pPr>
    </w:p>
    <w:p w:rsidR="00F87910" w:rsidRPr="00F87910" w:rsidRDefault="002C4DE3" w:rsidP="00F87910">
      <w:pPr>
        <w:pStyle w:val="Odlomakpopisa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Financijski plan za 2025.  </w:t>
      </w:r>
      <w:r>
        <w:rPr>
          <w:b/>
          <w:szCs w:val="24"/>
        </w:rPr>
        <w:t>–</w:t>
      </w:r>
      <w:r w:rsidRPr="00C35805">
        <w:rPr>
          <w:b/>
          <w:szCs w:val="24"/>
        </w:rPr>
        <w:t xml:space="preserve"> o</w:t>
      </w:r>
      <w:r>
        <w:rPr>
          <w:b/>
          <w:szCs w:val="24"/>
        </w:rPr>
        <w:t>brazloženje posebnog dijela</w:t>
      </w:r>
    </w:p>
    <w:p w:rsidR="00F87910" w:rsidRDefault="00F87910" w:rsidP="00F87910">
      <w:pPr>
        <w:pStyle w:val="Odlomakpopisa"/>
        <w:spacing w:after="200" w:line="276" w:lineRule="auto"/>
        <w:ind w:left="1080"/>
        <w:jc w:val="both"/>
        <w:rPr>
          <w:b/>
          <w:szCs w:val="24"/>
        </w:rPr>
      </w:pPr>
    </w:p>
    <w:p w:rsidR="006F5DCE" w:rsidRDefault="002649A6" w:rsidP="006F5DCE">
      <w:pPr>
        <w:spacing w:after="200" w:line="276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Financijski plan Trgovačkog suda u Splitu za 2025.iznosi ukupno 1.629.084 </w:t>
      </w:r>
      <w:r w:rsidR="006F5DCE">
        <w:rPr>
          <w:rFonts w:ascii="Times New Roman" w:hAnsi="Times New Roman" w:cs="Times New Roman"/>
          <w:szCs w:val="24"/>
        </w:rPr>
        <w:t xml:space="preserve">EUR-a, </w:t>
      </w:r>
      <w:r w:rsidR="006F5DCE" w:rsidRPr="006F5DCE">
        <w:rPr>
          <w:rFonts w:ascii="Times New Roman" w:hAnsi="Times New Roman" w:cs="Times New Roman"/>
          <w:szCs w:val="24"/>
        </w:rPr>
        <w:t xml:space="preserve"> </w:t>
      </w:r>
      <w:r w:rsidR="006F5DCE">
        <w:rPr>
          <w:rFonts w:ascii="Times New Roman" w:hAnsi="Times New Roman" w:cs="Times New Roman"/>
          <w:szCs w:val="24"/>
        </w:rPr>
        <w:t>a raspoređen je po skupinama rashoda na četvrtoj razini računskog plana.</w:t>
      </w:r>
    </w:p>
    <w:p w:rsidR="002649A6" w:rsidRDefault="002649A6" w:rsidP="002649A6">
      <w:pPr>
        <w:spacing w:after="200" w:line="276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2649A6" w:rsidRPr="009242A8" w:rsidRDefault="002649A6" w:rsidP="002649A6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>Izvori financiranja:</w:t>
      </w:r>
    </w:p>
    <w:p w:rsidR="002649A6" w:rsidRPr="009242A8" w:rsidRDefault="002649A6" w:rsidP="002649A6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 xml:space="preserve">-11 - opći prihodi i primici </w:t>
      </w:r>
      <w:r w:rsidR="006F5DCE">
        <w:rPr>
          <w:rFonts w:eastAsiaTheme="minorHAnsi"/>
          <w:szCs w:val="24"/>
        </w:rPr>
        <w:t xml:space="preserve">- </w:t>
      </w:r>
      <w:r w:rsidRPr="009242A8">
        <w:rPr>
          <w:rFonts w:eastAsiaTheme="minorHAnsi"/>
          <w:szCs w:val="24"/>
        </w:rPr>
        <w:t>99,94</w:t>
      </w:r>
      <w:r w:rsidR="00000C25">
        <w:rPr>
          <w:rFonts w:eastAsiaTheme="minorHAnsi"/>
          <w:szCs w:val="24"/>
        </w:rPr>
        <w:t>3</w:t>
      </w:r>
      <w:r w:rsidRPr="009242A8">
        <w:rPr>
          <w:rFonts w:eastAsiaTheme="minorHAnsi"/>
          <w:szCs w:val="24"/>
        </w:rPr>
        <w:t xml:space="preserve">% </w:t>
      </w:r>
      <w:r>
        <w:rPr>
          <w:rFonts w:eastAsiaTheme="minorHAnsi"/>
          <w:szCs w:val="24"/>
        </w:rPr>
        <w:t>/1.628.155 EUR</w:t>
      </w:r>
    </w:p>
    <w:p w:rsidR="002649A6" w:rsidRPr="009242A8" w:rsidRDefault="002649A6" w:rsidP="002649A6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>-31 - v</w:t>
      </w:r>
      <w:r>
        <w:rPr>
          <w:rFonts w:eastAsiaTheme="minorHAnsi"/>
          <w:szCs w:val="24"/>
        </w:rPr>
        <w:t xml:space="preserve">lastiti prihodi </w:t>
      </w:r>
      <w:r w:rsidR="006F5DCE">
        <w:rPr>
          <w:rFonts w:eastAsiaTheme="minorHAnsi"/>
          <w:szCs w:val="24"/>
        </w:rPr>
        <w:t xml:space="preserve">- </w:t>
      </w:r>
      <w:r>
        <w:rPr>
          <w:rFonts w:eastAsiaTheme="minorHAnsi"/>
          <w:szCs w:val="24"/>
        </w:rPr>
        <w:t>0,048</w:t>
      </w:r>
      <w:r w:rsidR="00000C25">
        <w:rPr>
          <w:rFonts w:eastAsiaTheme="minorHAnsi"/>
          <w:szCs w:val="24"/>
        </w:rPr>
        <w:t>9</w:t>
      </w:r>
      <w:r w:rsidRPr="009242A8">
        <w:rPr>
          <w:rFonts w:eastAsiaTheme="minorHAnsi"/>
          <w:szCs w:val="24"/>
        </w:rPr>
        <w:t xml:space="preserve">% </w:t>
      </w:r>
      <w:r>
        <w:rPr>
          <w:rFonts w:eastAsiaTheme="minorHAnsi"/>
          <w:szCs w:val="24"/>
        </w:rPr>
        <w:t>/796 EUR</w:t>
      </w:r>
    </w:p>
    <w:p w:rsidR="002649A6" w:rsidRPr="009242A8" w:rsidRDefault="002649A6" w:rsidP="002649A6">
      <w:pPr>
        <w:pStyle w:val="Odlomakpopisa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Theme="minorHAnsi"/>
          <w:szCs w:val="24"/>
        </w:rPr>
      </w:pPr>
      <w:r w:rsidRPr="009242A8">
        <w:rPr>
          <w:rFonts w:eastAsiaTheme="minorHAnsi"/>
          <w:szCs w:val="24"/>
        </w:rPr>
        <w:t>-43 – ost</w:t>
      </w:r>
      <w:r w:rsidR="006F5DCE">
        <w:rPr>
          <w:rFonts w:eastAsiaTheme="minorHAnsi"/>
          <w:szCs w:val="24"/>
        </w:rPr>
        <w:t xml:space="preserve">ali prihodi za posebne namjene </w:t>
      </w:r>
      <w:r w:rsidRPr="009242A8">
        <w:rPr>
          <w:rFonts w:eastAsiaTheme="minorHAnsi"/>
          <w:szCs w:val="24"/>
        </w:rPr>
        <w:t>– 0,00</w:t>
      </w:r>
      <w:r w:rsidR="00000C25">
        <w:rPr>
          <w:rFonts w:eastAsiaTheme="minorHAnsi"/>
          <w:szCs w:val="24"/>
        </w:rPr>
        <w:t>81</w:t>
      </w:r>
      <w:r>
        <w:rPr>
          <w:rFonts w:eastAsiaTheme="minorHAnsi"/>
          <w:szCs w:val="24"/>
        </w:rPr>
        <w:t>/133 EUR</w:t>
      </w:r>
    </w:p>
    <w:p w:rsidR="00074081" w:rsidRDefault="00074081" w:rsidP="00F87910">
      <w:pPr>
        <w:pStyle w:val="Odlomakpopisa"/>
        <w:spacing w:after="200" w:line="276" w:lineRule="auto"/>
        <w:ind w:left="1080"/>
        <w:jc w:val="both"/>
        <w:rPr>
          <w:b/>
          <w:szCs w:val="24"/>
        </w:rPr>
      </w:pPr>
    </w:p>
    <w:p w:rsidR="00074081" w:rsidRPr="00DE16CF" w:rsidRDefault="00074081" w:rsidP="00074081">
      <w:pPr>
        <w:spacing w:after="200" w:line="276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financijskom planu 2025.Trgovački sud u Splitu planirao je sredstva u skupini 31 – rashodi za zaposlene u iznosu od </w:t>
      </w:r>
      <w:r>
        <w:rPr>
          <w:rFonts w:ascii="Times New Roman" w:hAnsi="Times New Roman" w:cs="Times New Roman"/>
          <w:b/>
          <w:szCs w:val="24"/>
        </w:rPr>
        <w:t>1.433.539</w:t>
      </w:r>
      <w:r w:rsidRPr="00AC5CB2">
        <w:rPr>
          <w:rFonts w:ascii="Times New Roman" w:hAnsi="Times New Roman" w:cs="Times New Roman"/>
          <w:b/>
          <w:szCs w:val="24"/>
        </w:rPr>
        <w:t xml:space="preserve"> EUR.</w:t>
      </w:r>
    </w:p>
    <w:p w:rsidR="00074081" w:rsidRPr="00C35805" w:rsidRDefault="00074081" w:rsidP="00F87910">
      <w:pPr>
        <w:pStyle w:val="Odlomakpopisa"/>
        <w:spacing w:after="200" w:line="276" w:lineRule="auto"/>
        <w:ind w:left="1080"/>
        <w:jc w:val="both"/>
        <w:rPr>
          <w:b/>
          <w:szCs w:val="24"/>
        </w:rPr>
      </w:pPr>
    </w:p>
    <w:p w:rsidR="00F87910" w:rsidRDefault="00F87910" w:rsidP="00F87910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C3580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Plaće za zaposlene planirali smo prema stvarnim potrebama, sukladno Pravilniku o unutarnjem redu, Zakonu o plaćama sudaca i drugih pravosudnih dužnosnika, Uredbi o nazivima radnih mjesta i koeficijenata složenosti poslova u državnoj službi, Uredbom Vlade o izmjenama i dopunama uredbe o nazivima radnih mjesta i koeficijentima složenosti poslova u državnoj službi. </w:t>
      </w:r>
      <w:r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Sredstva su planirana na osnovu broja zaposlenih 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i planu zapošljavanja u rujnu </w:t>
      </w:r>
      <w:r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2</w:t>
      </w:r>
      <w:r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(pojašnjenje u planu za 2023.)</w:t>
      </w:r>
      <w:r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. </w:t>
      </w:r>
      <w:r w:rsidRPr="00C3580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U 202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5</w:t>
      </w:r>
      <w:r w:rsidRPr="00C3580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.planirana su sredstva za plaće i doprinose u iznosu od 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1.386.821</w:t>
      </w:r>
      <w:r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EUR</w:t>
      </w:r>
      <w:r w:rsidRPr="00C3580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</w:p>
    <w:p w:rsidR="000765BA" w:rsidRDefault="000765BA" w:rsidP="000765BA">
      <w:pPr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0765BA">
        <w:rPr>
          <w:rFonts w:ascii="Times New Roman" w:eastAsia="Times New Roman" w:hAnsi="Times New Roman" w:cs="Times New Roman"/>
          <w:szCs w:val="24"/>
          <w:lang w:eastAsia="hr-HR"/>
        </w:rPr>
        <w:lastRenderedPageBreak/>
        <w:t>Ostale rashode za zaposlene planirali smo prema stvarnim potrebama sukladno Kolektivnom ugovorom za državne službenike i namještenike . Predložena sredstva za ostale rashode za zaposlene u 2025. sastoje se od slijedećih isplata:  božićnice i regresa za 65 službenika i namještenika,  dara za djecu prigodom Svetog Nikole za 21 službenika (32 djece), jubilarne nagrade za 13 službenika koji ostvaruju navedeno pravo, otpremnine za  2 službenika, te ukalkulirane ostale rashode za zaposlene (razne potpore i pomoći: posmrtna, bolovanje dulje od 90 dana, rođenje djeteta) za 11 službenika. Prema Zaključku u vezi s izmjenom Pravilnika o porezu na dohodak (NN br.140/22.) najavljena su povećanja neoporezivih primitaka kao što su dar djetetu do 15 godina starosti i prigodne nagrade, no mi smo obračun ostalih rashoda za zaposlene izračunali prema trenutno važećim iznosima.</w:t>
      </w:r>
    </w:p>
    <w:p w:rsidR="00074081" w:rsidRDefault="00074081" w:rsidP="000765BA">
      <w:pPr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74081" w:rsidRDefault="00074081" w:rsidP="00074081">
      <w:pPr>
        <w:ind w:firstLine="708"/>
        <w:rPr>
          <w:rFonts w:ascii="Times New Roman" w:eastAsia="Times New Roman" w:hAnsi="Times New Roman" w:cs="Times New Roman"/>
          <w:b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Materijalni rashodi (skupina  32) su planirani u iznosu od </w:t>
      </w:r>
      <w:r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188.028 </w:t>
      </w:r>
      <w:r w:rsidRPr="00E739CE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EUR</w:t>
      </w:r>
      <w:r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iz općih prihoda i primitaka, 796 EUR iz vlastitih prihoda i 133 EUR iz ostalih prihoda za posebne namjene, što je ukupno 188.957 EUR.</w:t>
      </w:r>
    </w:p>
    <w:p w:rsidR="00074081" w:rsidRDefault="00074081" w:rsidP="00074081">
      <w:pPr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74081" w:rsidRPr="000765BA" w:rsidRDefault="00074081" w:rsidP="000765BA">
      <w:pPr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765BA" w:rsidRPr="000765BA" w:rsidRDefault="000765BA" w:rsidP="000765BA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Naknada za prijevoz na posao i s posla planirali smo prema stvarnim potrebama, u skladu sa važećim Kolektivnim ugovorom. Planirana sredstva za naknade 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iznose 40.613 EUR</w:t>
      </w:r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. </w:t>
      </w:r>
    </w:p>
    <w:p w:rsidR="000765BA" w:rsidRPr="00166EF5" w:rsidRDefault="000765BA" w:rsidP="004E4C2C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Zatražili smo sredstva sa podskupini 322 u iznosu od 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55.106 EUR</w:t>
      </w:r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. Ugovor o </w:t>
      </w:r>
      <w:proofErr w:type="spellStart"/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oprskrbi</w:t>
      </w:r>
      <w:proofErr w:type="spellEnd"/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el.energije</w:t>
      </w:r>
      <w:proofErr w:type="spellEnd"/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sklopljen je u 2022.godini, nepovoljniji je od prethodnog, odnosno došlo je do poskupljenja cijena usluge.   Pozicija 3231-poštanske usluge zaključili smo novi  ugovor u 2022., cijene usluga su se povećale ,  3233-zbog odlaska u mirovinu četiri službenice bit će potrebno objaviti  javne natječaje za zapošljavanje, 3235-prijelaz sa korištenja vlastite opreme na </w:t>
      </w:r>
      <w:proofErr w:type="spellStart"/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najm</w:t>
      </w:r>
      <w:proofErr w:type="spellEnd"/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iste, ali ne u cijelosti,  3236 -zdravstvene usluge su planirane sukladno Kolektivnom ugovoru, u 2025.ne planiramo  sistematske preglede zaposlenika  već samo iste za novozaposlene službenike. Ukupno smo planirali sredstva na poziciji 323 - Rashodi za usluge u iznosu od 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79.501 EUR.</w:t>
      </w:r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Na tekuće održavanje odnosi se 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9.556</w:t>
      </w:r>
      <w:r w:rsidRPr="00166EF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EUR, a planirana sredstva utrošiti će se na redovno održavanje novog klimatizacijskog sustava, te usluge održavanja zgrade jer nemamo domara.</w:t>
      </w:r>
    </w:p>
    <w:p w:rsidR="00000C25" w:rsidRPr="00BC15DC" w:rsidRDefault="000765BA" w:rsidP="00000C25">
      <w:pPr>
        <w:ind w:firstLine="708"/>
        <w:rPr>
          <w:rFonts w:ascii="Times New Roman" w:eastAsia="Times New Roman" w:hAnsi="Times New Roman" w:cs="Times New Roman"/>
          <w:b/>
          <w:color w:val="000000"/>
          <w:szCs w:val="24"/>
          <w:lang w:eastAsia="hr-HR"/>
        </w:rPr>
      </w:pPr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Planirana su  dodatna ulaganja na građevinskim objektima u iznosu od 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1.327 EUR</w:t>
      </w:r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 Odnosi se na instaliranje opreme za protupožarnu zaštitu. U arhivi suda ne postoji sustav vatrodojave. Kako bi se pravilno zaštitila arhivska građa, potrebno je postaviti sustav vatrodojave u prostorijama zgrade u kojem je smješten dio arhive.</w:t>
      </w:r>
      <w:r w:rsidR="00000C2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="00000C25"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Planirana sredstva za </w:t>
      </w:r>
      <w:r w:rsidR="00000C2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skupinu </w:t>
      </w:r>
      <w:r w:rsidR="00000C25" w:rsidRPr="00BC15DC">
        <w:rPr>
          <w:rFonts w:ascii="Times New Roman" w:eastAsia="Times New Roman" w:hAnsi="Times New Roman" w:cs="Times New Roman"/>
          <w:b/>
          <w:color w:val="000000"/>
          <w:szCs w:val="24"/>
          <w:lang w:eastAsia="hr-HR"/>
        </w:rPr>
        <w:t>45 -</w:t>
      </w:r>
      <w:r w:rsidR="00000C25" w:rsidRPr="00BC15DC">
        <w:rPr>
          <w:rFonts w:ascii="Times New Roman" w:hAnsi="Times New Roman" w:cs="Times New Roman"/>
          <w:b/>
          <w:szCs w:val="24"/>
        </w:rPr>
        <w:t xml:space="preserve"> rashodi za dodatna ulaganja na nefinancijskoj imovini</w:t>
      </w:r>
      <w:r w:rsidR="00000C25" w:rsidRPr="00BC15DC">
        <w:rPr>
          <w:rFonts w:ascii="Times New Roman" w:eastAsia="Times New Roman" w:hAnsi="Times New Roman" w:cs="Times New Roman"/>
          <w:b/>
          <w:color w:val="000000"/>
          <w:szCs w:val="24"/>
          <w:lang w:eastAsia="hr-HR"/>
        </w:rPr>
        <w:t xml:space="preserve"> iznose </w:t>
      </w:r>
      <w:r w:rsidR="00000C25">
        <w:rPr>
          <w:rFonts w:ascii="Times New Roman" w:eastAsia="Times New Roman" w:hAnsi="Times New Roman" w:cs="Times New Roman"/>
          <w:b/>
          <w:color w:val="000000"/>
          <w:szCs w:val="24"/>
          <w:lang w:eastAsia="hr-HR"/>
        </w:rPr>
        <w:t>1.327</w:t>
      </w:r>
      <w:r w:rsidR="00000C25" w:rsidRPr="00BC15DC">
        <w:rPr>
          <w:rFonts w:ascii="Times New Roman" w:eastAsia="Times New Roman" w:hAnsi="Times New Roman" w:cs="Times New Roman"/>
          <w:b/>
          <w:color w:val="000000"/>
          <w:szCs w:val="24"/>
          <w:lang w:eastAsia="hr-HR"/>
        </w:rPr>
        <w:t xml:space="preserve"> EUR.</w:t>
      </w:r>
    </w:p>
    <w:p w:rsidR="000765BA" w:rsidRPr="000765BA" w:rsidRDefault="000765BA" w:rsidP="000765BA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000C25" w:rsidRPr="00BC15DC" w:rsidRDefault="000765BA" w:rsidP="00000C25">
      <w:pPr>
        <w:ind w:firstLine="708"/>
        <w:rPr>
          <w:rFonts w:ascii="Times New Roman" w:hAnsi="Times New Roman" w:cs="Times New Roman"/>
          <w:b/>
          <w:color w:val="000000"/>
          <w:szCs w:val="24"/>
        </w:rPr>
      </w:pPr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Trgovački sud u Splitu zaključio je ugovor o financijskom </w:t>
      </w:r>
      <w:proofErr w:type="spellStart"/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leasingu</w:t>
      </w:r>
      <w:proofErr w:type="spellEnd"/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automobila broj 1061518 s OTP </w:t>
      </w:r>
      <w:proofErr w:type="spellStart"/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Leasing</w:t>
      </w:r>
      <w:proofErr w:type="spellEnd"/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d.d.iz</w:t>
      </w:r>
      <w:proofErr w:type="spellEnd"/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Zagreba. Vezano za nabavu osobnog automobila za 2025.godinu planirali smo na poziciji 3427 -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184 EUR</w:t>
      </w:r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i 4231 -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3.485 EUR</w:t>
      </w:r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  Planirali smo</w:t>
      </w:r>
      <w:r w:rsidR="004E4C2C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za obnovu i zamjenu dotrajalog  namještaja </w:t>
      </w:r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iznos od 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796</w:t>
      </w:r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EUR</w:t>
      </w:r>
      <w:r w:rsidRPr="000765BA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,</w:t>
      </w:r>
      <w:r w:rsidR="004E4C2C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="00000C25" w:rsidRPr="00000C25">
        <w:rPr>
          <w:rFonts w:ascii="Times New Roman" w:hAnsi="Times New Roman" w:cs="Times New Roman"/>
          <w:b/>
          <w:szCs w:val="24"/>
        </w:rPr>
        <w:t xml:space="preserve"> </w:t>
      </w:r>
      <w:r w:rsidR="00000C25" w:rsidRPr="00BC15DC">
        <w:rPr>
          <w:rFonts w:ascii="Times New Roman" w:hAnsi="Times New Roman" w:cs="Times New Roman"/>
          <w:b/>
          <w:szCs w:val="24"/>
        </w:rPr>
        <w:t>Skupina 42</w:t>
      </w:r>
      <w:r w:rsidR="00000C25">
        <w:rPr>
          <w:rFonts w:ascii="Times New Roman" w:hAnsi="Times New Roman" w:cs="Times New Roman"/>
          <w:szCs w:val="24"/>
        </w:rPr>
        <w:t xml:space="preserve">- rashodi za nabavu dugotrajne imovine ukupno  planirana sredstva iznose </w:t>
      </w:r>
      <w:r w:rsidR="00000C25" w:rsidRPr="00BC15DC">
        <w:rPr>
          <w:rFonts w:ascii="Times New Roman" w:hAnsi="Times New Roman" w:cs="Times New Roman"/>
          <w:b/>
          <w:szCs w:val="24"/>
        </w:rPr>
        <w:t>4.</w:t>
      </w:r>
      <w:r w:rsidR="00000C25">
        <w:rPr>
          <w:rFonts w:ascii="Times New Roman" w:hAnsi="Times New Roman" w:cs="Times New Roman"/>
          <w:b/>
          <w:szCs w:val="24"/>
        </w:rPr>
        <w:t>281</w:t>
      </w:r>
      <w:r w:rsidR="00000C25" w:rsidRPr="00BC15DC">
        <w:rPr>
          <w:rFonts w:ascii="Times New Roman" w:hAnsi="Times New Roman" w:cs="Times New Roman"/>
          <w:b/>
          <w:szCs w:val="24"/>
        </w:rPr>
        <w:t xml:space="preserve"> EUR.</w:t>
      </w:r>
    </w:p>
    <w:p w:rsidR="000765BA" w:rsidRPr="000765BA" w:rsidRDefault="000765BA" w:rsidP="000765BA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000C25" w:rsidRPr="00DE16CF" w:rsidRDefault="00000C25" w:rsidP="00000C25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C15DC">
        <w:rPr>
          <w:rFonts w:ascii="Times New Roman" w:hAnsi="Times New Roman" w:cs="Times New Roman"/>
          <w:b/>
          <w:color w:val="000000"/>
          <w:szCs w:val="24"/>
        </w:rPr>
        <w:t>Skupina 34</w:t>
      </w:r>
      <w:r>
        <w:rPr>
          <w:rFonts w:ascii="Times New Roman" w:hAnsi="Times New Roman" w:cs="Times New Roman"/>
          <w:color w:val="000000"/>
          <w:szCs w:val="24"/>
        </w:rPr>
        <w:t xml:space="preserve"> – financijski rashodi odnosi se na kamate za primljeni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leasing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(ranije spomenuto) i bankarske usluge. Ukupno su na ovoj poziciji planirana sredstva u iznosu od </w:t>
      </w:r>
      <w:r>
        <w:rPr>
          <w:rFonts w:ascii="Times New Roman" w:hAnsi="Times New Roman" w:cs="Times New Roman"/>
          <w:b/>
          <w:color w:val="000000"/>
          <w:szCs w:val="24"/>
        </w:rPr>
        <w:t>980</w:t>
      </w:r>
      <w:r w:rsidRPr="00E739CE">
        <w:rPr>
          <w:rFonts w:ascii="Times New Roman" w:hAnsi="Times New Roman" w:cs="Times New Roman"/>
          <w:b/>
          <w:color w:val="000000"/>
          <w:szCs w:val="24"/>
        </w:rPr>
        <w:t xml:space="preserve"> EUR.</w:t>
      </w:r>
    </w:p>
    <w:p w:rsidR="000765BA" w:rsidRPr="000765BA" w:rsidRDefault="000765BA" w:rsidP="00F87910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0765BA" w:rsidRPr="00DE16CF" w:rsidRDefault="000765BA" w:rsidP="000765BA">
      <w:pPr>
        <w:ind w:firstLine="708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Vlastiti prihodi sastoje se od prihoda od fotokopiranja i </w:t>
      </w:r>
      <w:r w:rsidRPr="005A143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naj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ma</w:t>
      </w:r>
      <w:r w:rsidRPr="005A143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prostora za postavljanje </w:t>
      </w:r>
      <w:proofErr w:type="spellStart"/>
      <w:r w:rsidRPr="005A143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samouslužnog</w:t>
      </w:r>
      <w:proofErr w:type="spellEnd"/>
      <w:r w:rsidRPr="005A143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aparata.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Pr="005A143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Planiramo ostvariti prihode od </w:t>
      </w:r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796 EUR</w:t>
      </w:r>
      <w:r w:rsidRPr="005A143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</w:t>
      </w:r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Ugovor o najmu p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rostora za postavljanje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samouslužnog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Pr="00DE16CF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aparata, vrijedi do studenog 2022.</w:t>
      </w: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Ostvarenim vlastitim prihodima podmirit ćemo rashode za nabavu uredskog materijala, usluge tekućeg i investicijskog održavanja, zakupnine i najamnine, reprezentacije i ostale nespomenute rashode poslovanja.</w:t>
      </w:r>
    </w:p>
    <w:p w:rsidR="000765BA" w:rsidRPr="00DE16CF" w:rsidRDefault="000765BA" w:rsidP="000765BA">
      <w:pPr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0765BA" w:rsidRPr="00DE16CF" w:rsidRDefault="000765BA" w:rsidP="000765BA">
      <w:pPr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5A1436">
        <w:rPr>
          <w:rFonts w:ascii="Times New Roman" w:eastAsia="Times New Roman" w:hAnsi="Times New Roman" w:cs="Times New Roman"/>
          <w:szCs w:val="24"/>
          <w:lang w:eastAsia="hr-HR"/>
        </w:rPr>
        <w:t>Kamate ostvarene od sredstava koja se vode na računima sudova su namjenski prihod državnog proračuna i koriste se za potrebe pravosudnih tijela</w:t>
      </w:r>
      <w:r w:rsidRPr="00CD5D79">
        <w:rPr>
          <w:rFonts w:ascii="Times New Roman" w:eastAsia="Times New Roman" w:hAnsi="Times New Roman" w:cs="Times New Roman"/>
          <w:szCs w:val="24"/>
          <w:lang w:eastAsia="hr-HR"/>
        </w:rPr>
        <w:t xml:space="preserve"> (</w:t>
      </w:r>
      <w:r w:rsidRPr="00CD5D79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Zakon o sudovima, NN 28/13 - 60/22,  čl.132.st.5).</w:t>
      </w:r>
      <w:r w:rsidRPr="005A1436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hr-HR"/>
        </w:rPr>
        <w:t>Plan prihoda za 2025</w:t>
      </w:r>
      <w:r w:rsidRPr="00CD5D79">
        <w:rPr>
          <w:rFonts w:ascii="Times New Roman" w:eastAsia="Times New Roman" w:hAnsi="Times New Roman" w:cs="Times New Roman"/>
          <w:szCs w:val="24"/>
          <w:lang w:eastAsia="hr-HR"/>
        </w:rPr>
        <w:t>.iznosi 133 EUR</w:t>
      </w:r>
      <w:r w:rsidRPr="005A1436">
        <w:rPr>
          <w:rFonts w:ascii="Times New Roman" w:eastAsia="Times New Roman" w:hAnsi="Times New Roman" w:cs="Times New Roman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Ostvarenim prihodima podmirit</w:t>
      </w:r>
      <w:r w:rsidR="002C4DE3">
        <w:rPr>
          <w:rFonts w:ascii="Times New Roman" w:eastAsia="Times New Roman" w:hAnsi="Times New Roman" w:cs="Times New Roman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ćemo rashode telefona i poštarine.</w:t>
      </w:r>
    </w:p>
    <w:p w:rsidR="00F87910" w:rsidRDefault="00F87910">
      <w:pPr>
        <w:rPr>
          <w:rFonts w:ascii="Times New Roman" w:hAnsi="Times New Roman" w:cs="Times New Roman"/>
          <w:szCs w:val="24"/>
        </w:rPr>
      </w:pPr>
    </w:p>
    <w:p w:rsidR="00E5650D" w:rsidRDefault="00E5650D">
      <w:pPr>
        <w:rPr>
          <w:rFonts w:ascii="Times New Roman" w:hAnsi="Times New Roman" w:cs="Times New Roman"/>
          <w:szCs w:val="24"/>
        </w:rPr>
      </w:pPr>
    </w:p>
    <w:p w:rsidR="00E5650D" w:rsidRDefault="00E5650D">
      <w:pPr>
        <w:rPr>
          <w:rFonts w:ascii="Times New Roman" w:hAnsi="Times New Roman" w:cs="Times New Roman"/>
          <w:szCs w:val="24"/>
        </w:rPr>
      </w:pPr>
    </w:p>
    <w:p w:rsidR="00E5650D" w:rsidRPr="00E5650D" w:rsidRDefault="00E5650D" w:rsidP="00E5650D">
      <w:pPr>
        <w:spacing w:after="200" w:line="276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E5650D">
        <w:rPr>
          <w:rFonts w:ascii="Times New Roman" w:hAnsi="Times New Roman" w:cs="Times New Roman"/>
          <w:szCs w:val="24"/>
        </w:rPr>
        <w:t>U Splitu, 22. rujna 2022.</w:t>
      </w:r>
    </w:p>
    <w:p w:rsidR="00E5650D" w:rsidRPr="00E5650D" w:rsidRDefault="00E5650D" w:rsidP="00E5650D">
      <w:pPr>
        <w:spacing w:after="200" w:line="276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E5650D">
        <w:rPr>
          <w:rFonts w:ascii="Times New Roman" w:hAnsi="Times New Roman" w:cs="Times New Roman"/>
          <w:szCs w:val="24"/>
        </w:rPr>
        <w:tab/>
      </w:r>
      <w:r w:rsidRPr="00E5650D">
        <w:rPr>
          <w:rFonts w:ascii="Times New Roman" w:hAnsi="Times New Roman" w:cs="Times New Roman"/>
          <w:szCs w:val="24"/>
        </w:rPr>
        <w:tab/>
      </w:r>
    </w:p>
    <w:p w:rsidR="00E5650D" w:rsidRPr="00E5650D" w:rsidRDefault="00E5650D" w:rsidP="00E5650D">
      <w:pPr>
        <w:pStyle w:val="Bezproreda"/>
        <w:rPr>
          <w:rFonts w:eastAsiaTheme="minorHAnsi"/>
          <w:szCs w:val="24"/>
        </w:rPr>
      </w:pPr>
      <w:r w:rsidRPr="00E5650D">
        <w:rPr>
          <w:rFonts w:eastAsiaTheme="minorHAnsi"/>
          <w:szCs w:val="24"/>
        </w:rPr>
        <w:tab/>
      </w:r>
      <w:r w:rsidRPr="00E5650D">
        <w:rPr>
          <w:rFonts w:eastAsiaTheme="minorHAnsi"/>
          <w:szCs w:val="24"/>
        </w:rPr>
        <w:tab/>
      </w:r>
      <w:r w:rsidRPr="00E5650D">
        <w:rPr>
          <w:rFonts w:eastAsiaTheme="minorHAnsi"/>
          <w:szCs w:val="24"/>
        </w:rPr>
        <w:tab/>
      </w:r>
      <w:r w:rsidRPr="00E5650D">
        <w:rPr>
          <w:rFonts w:eastAsiaTheme="minorHAnsi"/>
          <w:szCs w:val="24"/>
        </w:rPr>
        <w:tab/>
      </w:r>
      <w:r w:rsidRPr="00E5650D">
        <w:rPr>
          <w:rFonts w:eastAsiaTheme="minorHAnsi"/>
          <w:szCs w:val="24"/>
        </w:rPr>
        <w:tab/>
      </w:r>
      <w:r w:rsidRPr="00E5650D">
        <w:rPr>
          <w:rFonts w:eastAsiaTheme="minorHAnsi"/>
          <w:szCs w:val="24"/>
        </w:rPr>
        <w:tab/>
      </w:r>
      <w:r w:rsidRPr="00E5650D">
        <w:rPr>
          <w:rFonts w:eastAsiaTheme="minorHAnsi"/>
          <w:szCs w:val="24"/>
        </w:rPr>
        <w:tab/>
      </w:r>
      <w:r w:rsidRPr="00E5650D">
        <w:rPr>
          <w:rFonts w:eastAsiaTheme="minorHAnsi"/>
          <w:szCs w:val="24"/>
        </w:rPr>
        <w:tab/>
        <w:t>PREDSJEDNICA SUDA</w:t>
      </w:r>
    </w:p>
    <w:p w:rsidR="00E5650D" w:rsidRPr="00E5650D" w:rsidRDefault="00E5650D" w:rsidP="00E5650D">
      <w:pPr>
        <w:pStyle w:val="Bezproreda"/>
        <w:ind w:left="4248" w:firstLine="708"/>
        <w:rPr>
          <w:rFonts w:eastAsiaTheme="minorHAnsi"/>
          <w:szCs w:val="24"/>
        </w:rPr>
      </w:pPr>
      <w:r w:rsidRPr="00E5650D">
        <w:rPr>
          <w:rFonts w:eastAsiaTheme="minorHAnsi"/>
          <w:szCs w:val="24"/>
        </w:rPr>
        <w:t xml:space="preserve">                  Franka Buzov</w:t>
      </w:r>
    </w:p>
    <w:p w:rsidR="00E5650D" w:rsidRPr="00E5650D" w:rsidRDefault="00E5650D" w:rsidP="00E5650D">
      <w:pPr>
        <w:spacing w:after="200" w:line="276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E5650D" w:rsidRPr="000765BA" w:rsidRDefault="00E5650D">
      <w:pPr>
        <w:rPr>
          <w:rFonts w:ascii="Times New Roman" w:hAnsi="Times New Roman" w:cs="Times New Roman"/>
          <w:szCs w:val="24"/>
        </w:rPr>
      </w:pPr>
    </w:p>
    <w:sectPr w:rsidR="00E5650D" w:rsidRPr="0007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FFB"/>
    <w:multiLevelType w:val="hybridMultilevel"/>
    <w:tmpl w:val="C12C5264"/>
    <w:lvl w:ilvl="0" w:tplc="22F80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33F82"/>
    <w:multiLevelType w:val="hybridMultilevel"/>
    <w:tmpl w:val="C12C5264"/>
    <w:lvl w:ilvl="0" w:tplc="22F80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6C424B"/>
    <w:multiLevelType w:val="hybridMultilevel"/>
    <w:tmpl w:val="C12C5264"/>
    <w:lvl w:ilvl="0" w:tplc="22F80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B"/>
    <w:rsid w:val="00000C25"/>
    <w:rsid w:val="00074081"/>
    <w:rsid w:val="000765BA"/>
    <w:rsid w:val="00166EF5"/>
    <w:rsid w:val="002649A6"/>
    <w:rsid w:val="002C4DE3"/>
    <w:rsid w:val="002F2B42"/>
    <w:rsid w:val="003107AB"/>
    <w:rsid w:val="004A7D3B"/>
    <w:rsid w:val="004E4C2C"/>
    <w:rsid w:val="005A1436"/>
    <w:rsid w:val="006F5DCE"/>
    <w:rsid w:val="00797FDE"/>
    <w:rsid w:val="00977500"/>
    <w:rsid w:val="00AA2C74"/>
    <w:rsid w:val="00AC5CB2"/>
    <w:rsid w:val="00B82757"/>
    <w:rsid w:val="00BC15DC"/>
    <w:rsid w:val="00C35805"/>
    <w:rsid w:val="00CD5D79"/>
    <w:rsid w:val="00D44A84"/>
    <w:rsid w:val="00DE16CF"/>
    <w:rsid w:val="00E5650D"/>
    <w:rsid w:val="00E739CE"/>
    <w:rsid w:val="00F8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7197"/>
  <w15:chartTrackingRefBased/>
  <w15:docId w15:val="{7F8A49AE-9AFB-4A4E-B5CA-86691346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4A8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5C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CB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5650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3277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Tomaš</dc:creator>
  <cp:keywords/>
  <dc:description/>
  <cp:lastModifiedBy>Kristina Tomaš</cp:lastModifiedBy>
  <cp:revision>4</cp:revision>
  <cp:lastPrinted>2022-12-29T11:58:00Z</cp:lastPrinted>
  <dcterms:created xsi:type="dcterms:W3CDTF">2022-12-29T10:39:00Z</dcterms:created>
  <dcterms:modified xsi:type="dcterms:W3CDTF">2022-12-29T12:42:00Z</dcterms:modified>
</cp:coreProperties>
</file>