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E" w:rsidRPr="009D56BF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B9E" w:rsidRPr="009D56BF" w:rsidRDefault="00173B9E" w:rsidP="00173B9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D56B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3AF248" wp14:editId="3B6D9411">
            <wp:extent cx="723900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E6" w:rsidRDefault="000D23E6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>Broj RKP-a: 4253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OPĆINSKI SUD U RIJECI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>Matični broj: 03321428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Žrtava fašizma 7, 51000 Rijeka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="00FC29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D56BF">
        <w:rPr>
          <w:rFonts w:ascii="Times New Roman" w:hAnsi="Times New Roman" w:cs="Times New Roman"/>
          <w:b/>
          <w:sz w:val="24"/>
          <w:szCs w:val="24"/>
        </w:rPr>
        <w:t>OIB: 54566384631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Razina: 11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  <w:r w:rsidRPr="009D56BF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D56BF">
        <w:rPr>
          <w:rFonts w:ascii="Times New Roman" w:hAnsi="Times New Roman" w:cs="Times New Roman"/>
          <w:b/>
          <w:sz w:val="24"/>
          <w:szCs w:val="24"/>
        </w:rPr>
        <w:t>Šifra djelatnosti prema NKD-u 2007.: 8423 Sudske i pravosudne djelatnosti</w:t>
      </w:r>
    </w:p>
    <w:p w:rsidR="00173B9E" w:rsidRPr="009D56BF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3B9E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56BF">
        <w:rPr>
          <w:rFonts w:ascii="Times New Roman" w:hAnsi="Times New Roman" w:cs="Times New Roman"/>
          <w:sz w:val="24"/>
          <w:szCs w:val="24"/>
        </w:rPr>
        <w:t xml:space="preserve">U Rijeci, </w:t>
      </w:r>
      <w:r w:rsidR="00721BC6">
        <w:rPr>
          <w:rFonts w:ascii="Times New Roman" w:hAnsi="Times New Roman" w:cs="Times New Roman"/>
          <w:sz w:val="24"/>
          <w:szCs w:val="24"/>
        </w:rPr>
        <w:t xml:space="preserve">22. rujna </w:t>
      </w:r>
      <w:r w:rsidRPr="009D56BF">
        <w:rPr>
          <w:rFonts w:ascii="Times New Roman" w:hAnsi="Times New Roman" w:cs="Times New Roman"/>
          <w:sz w:val="24"/>
          <w:szCs w:val="24"/>
        </w:rPr>
        <w:t>2022.</w:t>
      </w:r>
    </w:p>
    <w:p w:rsidR="009D56BF" w:rsidRPr="009D56BF" w:rsidRDefault="009D56BF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 OPĆEG DIJELA FINANCIJSKOG PLANA</w:t>
      </w: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Sukla</w:t>
      </w:r>
      <w:r w:rsidR="002613EF">
        <w:rPr>
          <w:rFonts w:ascii="Times New Roman" w:hAnsi="Times New Roman"/>
        </w:rPr>
        <w:t>dno čl. 36 Zakona o proračunu (</w:t>
      </w:r>
      <w:r>
        <w:rPr>
          <w:rFonts w:ascii="Times New Roman" w:hAnsi="Times New Roman"/>
        </w:rPr>
        <w:t>Narodne novine br. 144/21) proračunski i izvanproračunski korisnici dužni su uz prijedlog financijskog plana izraditi dostaviti obrazloženje općeg dijela financijskog plana, kojeg dostavljamo u nastavku.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PRIHODI I PRIMICI:</w:t>
      </w:r>
    </w:p>
    <w:p w:rsidR="00721BC6" w:rsidRDefault="00721BC6" w:rsidP="00721BC6">
      <w:pPr>
        <w:pStyle w:val="Standard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</w:pPr>
      <w:r>
        <w:rPr>
          <w:rFonts w:ascii="Times New Roman" w:hAnsi="Times New Roman"/>
        </w:rPr>
        <w:tab/>
        <w:t>Općinski sud u Rijeci u cijelosti se financira iz nadležnog proračuna Ministarstva pravosuđa i uprave. U odnosu na 2023. proračunsku godinu zadani su limiti za izradu financijskog</w:t>
      </w:r>
      <w:r w:rsidR="000D5940">
        <w:rPr>
          <w:rFonts w:ascii="Times New Roman" w:hAnsi="Times New Roman"/>
        </w:rPr>
        <w:t xml:space="preserve"> plana u iznosu od 7.549.073,00</w:t>
      </w:r>
      <w:r>
        <w:rPr>
          <w:rFonts w:ascii="Times New Roman" w:hAnsi="Times New Roman"/>
        </w:rPr>
        <w:t xml:space="preserve"> </w:t>
      </w:r>
      <w:r w:rsidR="00AF329C">
        <w:rPr>
          <w:rFonts w:ascii="Times New Roman" w:hAnsi="Times New Roman"/>
        </w:rPr>
        <w:t>EUR</w:t>
      </w:r>
      <w:r>
        <w:rPr>
          <w:rFonts w:ascii="Times New Roman" w:hAnsi="Times New Roman"/>
        </w:rPr>
        <w:t>, te projekcije sukladno limitima za 2024.</w:t>
      </w:r>
      <w:r w:rsidR="00AF3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godinu iznos od </w:t>
      </w:r>
      <w:r w:rsidR="000D5940">
        <w:rPr>
          <w:rFonts w:ascii="Times New Roman" w:hAnsi="Times New Roman"/>
        </w:rPr>
        <w:t>7.674.546,00</w:t>
      </w:r>
      <w:r w:rsidR="00AF329C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te za 2025.</w:t>
      </w:r>
      <w:r w:rsidR="00AF3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godinu iznos od </w:t>
      </w:r>
      <w:r w:rsidR="000D5940">
        <w:rPr>
          <w:rFonts w:ascii="Times New Roman" w:hAnsi="Times New Roman"/>
        </w:rPr>
        <w:t>7.698.091,00</w:t>
      </w:r>
      <w:r>
        <w:rPr>
          <w:rFonts w:ascii="Times New Roman" w:hAnsi="Times New Roman"/>
        </w:rPr>
        <w:t xml:space="preserve"> </w:t>
      </w:r>
      <w:r w:rsidR="00AF329C">
        <w:rPr>
          <w:rFonts w:ascii="Times New Roman" w:hAnsi="Times New Roman"/>
        </w:rPr>
        <w:t>EUR</w:t>
      </w:r>
      <w:r>
        <w:rPr>
          <w:rFonts w:ascii="Times New Roman" w:hAnsi="Times New Roman"/>
        </w:rPr>
        <w:t>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skladu s Zakonom o proračunu Općinski sud u Rijeci ostvaruje prihode od usluga kopiranja sudskih akata te prihoda ostvarenih od najma aparata za napitke. Dosadašnja dinamika naplate vlastitih prihoda pokazuje pad u odnosu na prethodne godine, a pretpostavka njihova smanjenja u dijelu pružanja usluga kopiranja sudskih akata proizlazi iz mogućnosti uporabe raznih uređaja za fotografiranje spisa predviđeno čl. 44</w:t>
      </w:r>
      <w:r w:rsidR="005F2F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Sudskog poslovnika.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</w:pPr>
      <w:r>
        <w:rPr>
          <w:rFonts w:ascii="Calibri" w:hAnsi="Calibri"/>
          <w:sz w:val="18"/>
        </w:rPr>
        <w:tab/>
      </w:r>
      <w:r w:rsidR="005F2FBC">
        <w:rPr>
          <w:rFonts w:ascii="Times New Roman" w:hAnsi="Times New Roman"/>
        </w:rPr>
        <w:t xml:space="preserve">Područje nadležnosti </w:t>
      </w:r>
      <w:r>
        <w:rPr>
          <w:rFonts w:ascii="Times New Roman" w:hAnsi="Times New Roman"/>
        </w:rPr>
        <w:t xml:space="preserve">Općinskog suda u Rijeci trenutno obuhvaća pet katastarskih općina osnovanih radi obavljanja poslova na  obnovi </w:t>
      </w:r>
      <w:r w:rsidR="00EA7294">
        <w:rPr>
          <w:rFonts w:ascii="Times New Roman" w:hAnsi="Times New Roman"/>
        </w:rPr>
        <w:t>zemljišnih</w:t>
      </w:r>
      <w:r>
        <w:rPr>
          <w:rFonts w:ascii="Times New Roman" w:hAnsi="Times New Roman"/>
        </w:rPr>
        <w:t xml:space="preserve"> knjiga. ( k.o. Sušak-nova, k.o. </w:t>
      </w:r>
      <w:proofErr w:type="spellStart"/>
      <w:r>
        <w:rPr>
          <w:rFonts w:ascii="Times New Roman" w:hAnsi="Times New Roman"/>
        </w:rPr>
        <w:t>Kukuljanovo</w:t>
      </w:r>
      <w:proofErr w:type="spellEnd"/>
      <w:r>
        <w:rPr>
          <w:rFonts w:ascii="Times New Roman" w:hAnsi="Times New Roman"/>
        </w:rPr>
        <w:t xml:space="preserve">-nova,  k.o. Studena-nova, k.o. </w:t>
      </w:r>
      <w:proofErr w:type="spellStart"/>
      <w:r>
        <w:rPr>
          <w:rFonts w:ascii="Times New Roman" w:hAnsi="Times New Roman"/>
        </w:rPr>
        <w:t>Škrljevo</w:t>
      </w:r>
      <w:proofErr w:type="spellEnd"/>
      <w:r>
        <w:rPr>
          <w:rFonts w:ascii="Times New Roman" w:hAnsi="Times New Roman"/>
        </w:rPr>
        <w:t xml:space="preserve">-nova, k.o. </w:t>
      </w:r>
      <w:proofErr w:type="spellStart"/>
      <w:r>
        <w:rPr>
          <w:rFonts w:ascii="Times New Roman" w:hAnsi="Times New Roman"/>
        </w:rPr>
        <w:t>Pobri</w:t>
      </w:r>
      <w:proofErr w:type="spellEnd"/>
      <w:r>
        <w:rPr>
          <w:rFonts w:ascii="Times New Roman" w:hAnsi="Times New Roman"/>
        </w:rPr>
        <w:t xml:space="preserve"> te k.o. Volosko). Za sve navedene katastarske općine </w:t>
      </w:r>
      <w:r w:rsidR="00EA7294">
        <w:rPr>
          <w:rFonts w:ascii="Times New Roman" w:hAnsi="Times New Roman"/>
        </w:rPr>
        <w:t>sklopljeni</w:t>
      </w:r>
      <w:r>
        <w:rPr>
          <w:rFonts w:ascii="Times New Roman" w:hAnsi="Times New Roman"/>
        </w:rPr>
        <w:t xml:space="preserve"> su Sporazumi o sufinanciranju poslova obnove zemljišnih knjiga između Ministarstva pravosuđa, Općinskog suda u Rijeci  s  gradom Bakrom, Općinom Klana, gradom Opatija te gradom Rijeka. Novčana sredstva sukladno Sporazumima osigurana su za financiranje materijalnih troškova ( poštanske usluge,  korištenje uredskog materijala), te za novčane naknade članovima zemljišnoknjižnih povjerenstva u provedbi postupaka obnove zemljišne knjige. Također je u pripremi pokretanje postupaka obnove </w:t>
      </w:r>
      <w:r w:rsidR="00EA7294">
        <w:rPr>
          <w:rFonts w:ascii="Times New Roman" w:hAnsi="Times New Roman"/>
        </w:rPr>
        <w:t>zemljišnih</w:t>
      </w:r>
      <w:r>
        <w:rPr>
          <w:rFonts w:ascii="Times New Roman" w:hAnsi="Times New Roman"/>
        </w:rPr>
        <w:t xml:space="preserve"> knjiga za k.o. Breza - nova, Draga, Dražice -nova, Lisac - nova, Marinići - nova, </w:t>
      </w:r>
      <w:proofErr w:type="spellStart"/>
      <w:r>
        <w:rPr>
          <w:rFonts w:ascii="Times New Roman" w:hAnsi="Times New Roman"/>
        </w:rPr>
        <w:t>Podhum</w:t>
      </w:r>
      <w:proofErr w:type="spellEnd"/>
      <w:r>
        <w:rPr>
          <w:rFonts w:ascii="Times New Roman" w:hAnsi="Times New Roman"/>
        </w:rPr>
        <w:t xml:space="preserve"> -</w:t>
      </w:r>
      <w:r w:rsidR="005F2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nova, </w:t>
      </w:r>
      <w:proofErr w:type="spellStart"/>
      <w:r>
        <w:rPr>
          <w:rFonts w:ascii="Times New Roman" w:hAnsi="Times New Roman"/>
        </w:rPr>
        <w:t>Rečina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Škalnica</w:t>
      </w:r>
      <w:proofErr w:type="spellEnd"/>
      <w:r>
        <w:rPr>
          <w:rFonts w:ascii="Times New Roman" w:hAnsi="Times New Roman"/>
        </w:rPr>
        <w:t xml:space="preserve"> - nova, Stari grad te Sveti </w:t>
      </w:r>
      <w:proofErr w:type="spellStart"/>
      <w:r>
        <w:rPr>
          <w:rFonts w:ascii="Times New Roman" w:hAnsi="Times New Roman"/>
        </w:rPr>
        <w:t>Kuzam</w:t>
      </w:r>
      <w:proofErr w:type="spellEnd"/>
      <w:r>
        <w:rPr>
          <w:rFonts w:ascii="Times New Roman" w:hAnsi="Times New Roman"/>
        </w:rPr>
        <w:t xml:space="preserve"> i drugih prema Detaljnom </w:t>
      </w:r>
      <w:r>
        <w:rPr>
          <w:rFonts w:ascii="Times New Roman" w:hAnsi="Times New Roman"/>
        </w:rPr>
        <w:lastRenderedPageBreak/>
        <w:t>planu Vlade za 2022. i 2023. godinu.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Tijekom 2023.</w:t>
      </w:r>
      <w:r w:rsidR="005F2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 od Ministarstva pravosuđa i u</w:t>
      </w:r>
      <w:r w:rsidR="005F2FBC">
        <w:rPr>
          <w:rFonts w:ascii="Times New Roman" w:hAnsi="Times New Roman"/>
        </w:rPr>
        <w:t>prave će se zatražiti dozvola (</w:t>
      </w:r>
      <w:r>
        <w:rPr>
          <w:rFonts w:ascii="Times New Roman" w:hAnsi="Times New Roman"/>
        </w:rPr>
        <w:t xml:space="preserve">uz suglasnost Ministra financija) za nabavku još jednog vozila na financijski </w:t>
      </w:r>
      <w:proofErr w:type="spellStart"/>
      <w:r>
        <w:rPr>
          <w:rFonts w:ascii="Times New Roman" w:hAnsi="Times New Roman"/>
        </w:rPr>
        <w:t>leasing</w:t>
      </w:r>
      <w:proofErr w:type="spellEnd"/>
      <w:r>
        <w:rPr>
          <w:rFonts w:ascii="Times New Roman" w:hAnsi="Times New Roman"/>
        </w:rPr>
        <w:t>, a koji zajam bi se financirao od strane Ministarstva pravosuđa i uprave na razdoblje od 5 godina.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RASHODI I IZDACI: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Prijedlog plana proračuna za 2023-2025.g. napravljen je sukladno Uputi Ministarstva pravosuđa i uprave obzirom na naputak da se pridržavamo limitima usvojenih projekcija za 202</w:t>
      </w:r>
      <w:r w:rsidR="00EA7294">
        <w:rPr>
          <w:rFonts w:ascii="Times New Roman" w:hAnsi="Times New Roman"/>
        </w:rPr>
        <w:t>4</w:t>
      </w:r>
      <w:r>
        <w:rPr>
          <w:rFonts w:ascii="Times New Roman" w:hAnsi="Times New Roman"/>
        </w:rPr>
        <w:t>. i 202</w:t>
      </w:r>
      <w:r w:rsidR="00EA7294">
        <w:rPr>
          <w:rFonts w:ascii="Times New Roman" w:hAnsi="Times New Roman"/>
        </w:rPr>
        <w:t>5</w:t>
      </w:r>
      <w:r>
        <w:rPr>
          <w:rFonts w:ascii="Times New Roman" w:hAnsi="Times New Roman"/>
        </w:rPr>
        <w:t>.g.. No iako je iz istih ograničenja već sada razvidno da će zadani limiti za materijalne rashode biti nedostatni.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u w:val="single"/>
        </w:rPr>
        <w:t>Usluge električne energije</w:t>
      </w:r>
      <w:r>
        <w:rPr>
          <w:rFonts w:ascii="Times New Roman" w:hAnsi="Times New Roman"/>
        </w:rPr>
        <w:t xml:space="preserve"> su se  povećale obzirom na ugradnju dizalice električne topline u zgradi sjedišta suda krajem 2020.g. Obzirom na općenito povećanje cijene energenata u svim segmentima stvarni troškov</w:t>
      </w:r>
      <w:r w:rsidR="000D5940">
        <w:rPr>
          <w:rFonts w:ascii="Times New Roman" w:hAnsi="Times New Roman"/>
        </w:rPr>
        <w:t>i se procjenjuju na 199.084,00</w:t>
      </w:r>
      <w:r w:rsidR="005C748D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godišnje, što </w:t>
      </w:r>
      <w:r w:rsidR="000D5940">
        <w:rPr>
          <w:rFonts w:ascii="Times New Roman" w:hAnsi="Times New Roman"/>
        </w:rPr>
        <w:t>daje povećanje od oko 119.451,00</w:t>
      </w:r>
      <w:r w:rsidR="005C748D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u odnosu na usvojenu projekciju za 2023.g. , te naglašavamo kako  nam dodijeljena sredstva u 2023.g. već je sada razvidno da neće biti dostatna.  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Uredski materijal i ostali materijalni rashodi</w:t>
      </w:r>
      <w:r>
        <w:rPr>
          <w:rFonts w:ascii="Times New Roman" w:hAnsi="Times New Roman"/>
        </w:rPr>
        <w:t xml:space="preserve"> također nam neće biti dostatni obzirom na limite. Procjenjuje se stvarni trošak za cijelu 2023.g. iznos od </w:t>
      </w:r>
      <w:r w:rsidR="005C748D">
        <w:rPr>
          <w:rFonts w:ascii="Times New Roman" w:hAnsi="Times New Roman"/>
        </w:rPr>
        <w:t>95.560,</w:t>
      </w:r>
      <w:r w:rsidR="000D5940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="005C748D">
        <w:rPr>
          <w:rFonts w:ascii="Times New Roman" w:hAnsi="Times New Roman"/>
        </w:rPr>
        <w:t>EUR</w:t>
      </w:r>
      <w:r>
        <w:rPr>
          <w:rFonts w:ascii="Times New Roman" w:hAnsi="Times New Roman"/>
        </w:rPr>
        <w:t>. Do znatnog povećanja je došlo radi nabavke higijenskih potrepština uzrokovane epidemijom COVID-19 te zbog povećanih troškov</w:t>
      </w:r>
      <w:r w:rsidR="005C748D">
        <w:rPr>
          <w:rFonts w:ascii="Times New Roman" w:hAnsi="Times New Roman"/>
        </w:rPr>
        <w:t>a nabavke uredskog materijala (</w:t>
      </w:r>
      <w:r>
        <w:rPr>
          <w:rFonts w:ascii="Times New Roman" w:hAnsi="Times New Roman"/>
        </w:rPr>
        <w:t xml:space="preserve">papira za fotokopiranje) za potrebe </w:t>
      </w:r>
      <w:proofErr w:type="spellStart"/>
      <w:r>
        <w:rPr>
          <w:rFonts w:ascii="Times New Roman" w:hAnsi="Times New Roman"/>
        </w:rPr>
        <w:t>printanja</w:t>
      </w:r>
      <w:proofErr w:type="spellEnd"/>
      <w:r>
        <w:rPr>
          <w:rFonts w:ascii="Times New Roman" w:hAnsi="Times New Roman"/>
        </w:rPr>
        <w:t xml:space="preserve"> e-komunikacije.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Ovdje želimo napomenuti povećanje određenih rashod</w:t>
      </w:r>
      <w:r w:rsidR="005C748D">
        <w:rPr>
          <w:rFonts w:ascii="Times New Roman" w:hAnsi="Times New Roman"/>
        </w:rPr>
        <w:t xml:space="preserve">a za usluge a koji se naročito </w:t>
      </w:r>
      <w:r>
        <w:rPr>
          <w:rFonts w:ascii="Times New Roman" w:hAnsi="Times New Roman"/>
        </w:rPr>
        <w:t>odnose na: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u w:val="single"/>
        </w:rPr>
        <w:t>ntelektualne usluge</w:t>
      </w:r>
      <w:r>
        <w:rPr>
          <w:rFonts w:ascii="Times New Roman" w:hAnsi="Times New Roman"/>
        </w:rPr>
        <w:t xml:space="preserve">; usluge odvjetnika i pravnog savjetovanja, usluge vještačenja, usluge agencija student servisa, prijevoda i ostalih intelektualnih usluga. Njih, obzirom na zadani limit nismo planirali prema stvarnim troškovima. Procjenjuje se kako će do kraja tekuće godine na navedenoj poziciji biti </w:t>
      </w:r>
      <w:r w:rsidR="000D5940">
        <w:rPr>
          <w:rFonts w:ascii="Times New Roman" w:hAnsi="Times New Roman"/>
        </w:rPr>
        <w:t>utrošeno ukupno oko 663.614,00</w:t>
      </w:r>
      <w:r>
        <w:rPr>
          <w:rFonts w:ascii="Times New Roman" w:hAnsi="Times New Roman"/>
        </w:rPr>
        <w:t xml:space="preserve"> </w:t>
      </w:r>
      <w:r w:rsidR="005C748D">
        <w:rPr>
          <w:rFonts w:ascii="Times New Roman" w:hAnsi="Times New Roman"/>
        </w:rPr>
        <w:t>EUR</w:t>
      </w:r>
      <w:r>
        <w:rPr>
          <w:rFonts w:ascii="Times New Roman" w:hAnsi="Times New Roman"/>
        </w:rPr>
        <w:t>, također sredstva koja su nam dodi</w:t>
      </w:r>
      <w:r w:rsidR="005C748D">
        <w:rPr>
          <w:rFonts w:ascii="Times New Roman" w:hAnsi="Times New Roman"/>
        </w:rPr>
        <w:t>jeljena proračunom za 2022.g. (</w:t>
      </w:r>
      <w:r w:rsidR="000D5940">
        <w:rPr>
          <w:rFonts w:ascii="Times New Roman" w:hAnsi="Times New Roman"/>
        </w:rPr>
        <w:t>265.446,00</w:t>
      </w:r>
      <w:r w:rsidR="005C748D">
        <w:rPr>
          <w:rFonts w:ascii="Times New Roman" w:hAnsi="Times New Roman"/>
        </w:rPr>
        <w:t xml:space="preserve"> EUR</w:t>
      </w:r>
      <w:r w:rsidR="0087056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nam nisu dostatna do kraja godine (Napomena; u prvih 8 mjeseci 2022.g. su u cijelosti potrošena sredstva dobivena na poziciji intelektualnih usluga).</w:t>
      </w:r>
    </w:p>
    <w:p w:rsidR="00EA7294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Usluge telefona, pošte i prijevoza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  Procj</w:t>
      </w:r>
      <w:r w:rsidR="005C748D">
        <w:rPr>
          <w:rFonts w:ascii="Times New Roman" w:hAnsi="Times New Roman"/>
        </w:rPr>
        <w:t>ena troš</w:t>
      </w:r>
      <w:r w:rsidR="000D5940">
        <w:rPr>
          <w:rFonts w:ascii="Times New Roman" w:hAnsi="Times New Roman"/>
        </w:rPr>
        <w:t>ka za 2023 .g. iznosi 530.891,00</w:t>
      </w:r>
      <w:r>
        <w:rPr>
          <w:rFonts w:ascii="Times New Roman" w:hAnsi="Times New Roman"/>
        </w:rPr>
        <w:t xml:space="preserve"> </w:t>
      </w:r>
      <w:r w:rsidR="005C748D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za poštanske usluge. Do povećanja je došlo naročito zbog troškova </w:t>
      </w:r>
      <w:proofErr w:type="spellStart"/>
      <w:r>
        <w:rPr>
          <w:rFonts w:ascii="Times New Roman" w:hAnsi="Times New Roman"/>
        </w:rPr>
        <w:t>printanja</w:t>
      </w:r>
      <w:proofErr w:type="spellEnd"/>
      <w:r>
        <w:rPr>
          <w:rFonts w:ascii="Times New Roman" w:hAnsi="Times New Roman"/>
        </w:rPr>
        <w:t xml:space="preserve"> i kuvertiranja nastalih e-poštom, te nam planirana sredstva neće biti dostatna za redovno poslovanje u 2023.g.   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Zdravstvene i veterinarske usluge;</w:t>
      </w:r>
      <w:r>
        <w:rPr>
          <w:rFonts w:ascii="Times New Roman" w:hAnsi="Times New Roman"/>
        </w:rPr>
        <w:t xml:space="preserve"> sukladno čl. 55. st.1. Kolektivnog ugovora za državne službenike i namještenike, službenici i namještenici svake tri godine ostvaruju pravo na sistematski pregled. Obzirom na navedeno moraju se planirati sredstva u 2023.g. za isto. Plan je napravljen sukladno trenutačno broju zaposlenih te shodno novom sklopljenom Kolektivnom ugovoru i  povećanom iznosu </w:t>
      </w:r>
      <w:r w:rsidR="000D5940">
        <w:rPr>
          <w:rFonts w:ascii="Times New Roman" w:hAnsi="Times New Roman"/>
        </w:rPr>
        <w:t>od 159,00</w:t>
      </w:r>
      <w:r w:rsidR="005C748D">
        <w:rPr>
          <w:rFonts w:ascii="Times New Roman" w:hAnsi="Times New Roman"/>
        </w:rPr>
        <w:t xml:space="preserve"> EUR po zaposleniku (</w:t>
      </w:r>
      <w:r w:rsidR="000D5940">
        <w:rPr>
          <w:rFonts w:ascii="Times New Roman" w:hAnsi="Times New Roman"/>
        </w:rPr>
        <w:t>iznos od 42.471,00</w:t>
      </w:r>
      <w:r w:rsidR="005C748D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za zdravstvene preglede sukladno </w:t>
      </w:r>
      <w:r w:rsidR="000D5940">
        <w:rPr>
          <w:rFonts w:ascii="Times New Roman" w:hAnsi="Times New Roman"/>
        </w:rPr>
        <w:t>kolektivnom ugovoru te 2.654,00</w:t>
      </w:r>
      <w:r>
        <w:rPr>
          <w:rFonts w:ascii="Times New Roman" w:hAnsi="Times New Roman"/>
        </w:rPr>
        <w:t xml:space="preserve"> </w:t>
      </w:r>
      <w:r w:rsidR="005C748D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za uredno poslovanje).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Pristojbe i naknade</w:t>
      </w:r>
      <w:r>
        <w:rPr>
          <w:rFonts w:ascii="Times New Roman" w:hAnsi="Times New Roman"/>
        </w:rPr>
        <w:t xml:space="preserve">; Zavod za vještačenje profesionalnu rehabilitaciju i zapošljavanje osoba s invaliditetom tereti Općinski sud u Rijeci za iznos od oko </w:t>
      </w:r>
      <w:r w:rsidR="002631DD">
        <w:rPr>
          <w:rFonts w:ascii="Times New Roman" w:hAnsi="Times New Roman"/>
        </w:rPr>
        <w:t>10.02</w:t>
      </w:r>
      <w:r w:rsidR="000D5940">
        <w:rPr>
          <w:rFonts w:ascii="Times New Roman" w:hAnsi="Times New Roman"/>
        </w:rPr>
        <w:t>1,00</w:t>
      </w:r>
      <w:r>
        <w:rPr>
          <w:rFonts w:ascii="Times New Roman" w:hAnsi="Times New Roman"/>
        </w:rPr>
        <w:t xml:space="preserve"> </w:t>
      </w:r>
      <w:r w:rsidR="002631DD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zbog neplaćenih pristojbi i naknada za prijašnja razdoblja (2015.g, 2016.g i 2017.g.) a koji iznos je utvrđen preko aplikacije "Nera" navedenog zavoda. Obzirom na navedeno potreban nam je naveden iznos kako bi podmirili nastala dugovanja te iznos od </w:t>
      </w:r>
      <w:r w:rsidR="000D5940">
        <w:rPr>
          <w:rFonts w:ascii="Times New Roman" w:hAnsi="Times New Roman"/>
        </w:rPr>
        <w:t>3.318,00</w:t>
      </w:r>
      <w:r>
        <w:rPr>
          <w:rFonts w:ascii="Times New Roman" w:hAnsi="Times New Roman"/>
        </w:rPr>
        <w:t xml:space="preserve"> </w:t>
      </w:r>
      <w:r w:rsidR="002631DD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za redovno poslovanje i plaćanje pristojbi i naknada.  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Kamate za primljene kredite i zajmove,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obzirom na potrebu nabavke službenog v</w:t>
      </w:r>
      <w:r w:rsidR="002631DD">
        <w:rPr>
          <w:rFonts w:ascii="Times New Roman" w:hAnsi="Times New Roman"/>
        </w:rPr>
        <w:t xml:space="preserve">ozila povećan je iznos kamata (financijski </w:t>
      </w:r>
      <w:proofErr w:type="spellStart"/>
      <w:r w:rsidR="002631DD">
        <w:rPr>
          <w:rFonts w:ascii="Times New Roman" w:hAnsi="Times New Roman"/>
        </w:rPr>
        <w:t>leasing</w:t>
      </w:r>
      <w:proofErr w:type="spellEnd"/>
      <w:r w:rsidR="002631D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za iznos od </w:t>
      </w:r>
      <w:r w:rsidR="000D5940">
        <w:rPr>
          <w:rFonts w:ascii="Times New Roman" w:hAnsi="Times New Roman"/>
        </w:rPr>
        <w:t>977,00</w:t>
      </w:r>
      <w:r>
        <w:rPr>
          <w:rFonts w:ascii="Times New Roman" w:hAnsi="Times New Roman"/>
        </w:rPr>
        <w:t xml:space="preserve"> </w:t>
      </w:r>
      <w:r w:rsidR="002631DD">
        <w:rPr>
          <w:rFonts w:ascii="Times New Roman" w:hAnsi="Times New Roman"/>
        </w:rPr>
        <w:t>EUR</w:t>
      </w:r>
      <w:r>
        <w:rPr>
          <w:rFonts w:ascii="Times New Roman" w:hAnsi="Times New Roman"/>
        </w:rPr>
        <w:t>.</w:t>
      </w:r>
    </w:p>
    <w:p w:rsidR="00EA7294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  <w:u w:val="single"/>
        </w:rPr>
        <w:t>Računalne usluge</w:t>
      </w:r>
      <w:r>
        <w:rPr>
          <w:rFonts w:ascii="Times New Roman" w:hAnsi="Times New Roman"/>
        </w:rPr>
        <w:t xml:space="preserve">  predviđeno je ažuriranje, servisiranje i nadogradnja sustava evidencije radnog vremena kojeg koristi Općinski sud u Rijeci, za čije potrebe je isto nabavljeno od strane Ministarstva pravosuđa i uprave. Za isto je predviđen trošak u iznosu od </w:t>
      </w:r>
      <w:r w:rsidR="000D5940">
        <w:rPr>
          <w:rFonts w:ascii="Times New Roman" w:hAnsi="Times New Roman"/>
        </w:rPr>
        <w:t>6.636,00</w:t>
      </w:r>
      <w:r>
        <w:rPr>
          <w:rFonts w:ascii="Times New Roman" w:hAnsi="Times New Roman"/>
        </w:rPr>
        <w:t xml:space="preserve"> </w:t>
      </w:r>
      <w:r w:rsidR="00155D19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  <w:p w:rsidR="00721BC6" w:rsidRDefault="00721BC6" w:rsidP="00EA7294">
      <w:pPr>
        <w:pStyle w:val="Standar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Materijal i dijelovi za tekuće i investicijsko održavanje,</w:t>
      </w:r>
      <w:r>
        <w:rPr>
          <w:rFonts w:ascii="Times New Roman" w:hAnsi="Times New Roman"/>
        </w:rPr>
        <w:t xml:space="preserve"> u dosadašnjem poslovanju Općinski sud u Rijeci na ovoj poziciji nije tražio sredstva no kako je cjelokupna informatička oprema (računala) zastarjela</w:t>
      </w:r>
      <w:r w:rsidR="008D58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ista zahtijeva redovno ažuriranje </w:t>
      </w:r>
      <w:r w:rsidR="008D58B2">
        <w:rPr>
          <w:rFonts w:ascii="Times New Roman" w:hAnsi="Times New Roman"/>
        </w:rPr>
        <w:t xml:space="preserve">programske podrške, antivirusne zaštite i instalaciju novih </w:t>
      </w:r>
      <w:r>
        <w:rPr>
          <w:rFonts w:ascii="Times New Roman" w:hAnsi="Times New Roman"/>
        </w:rPr>
        <w:t xml:space="preserve">aplikacija nailazimo na </w:t>
      </w:r>
      <w:r w:rsidR="008D58B2">
        <w:rPr>
          <w:rFonts w:ascii="Times New Roman" w:hAnsi="Times New Roman"/>
        </w:rPr>
        <w:t>probleme prilikom uporabe većine softwarea na istima</w:t>
      </w:r>
      <w:r>
        <w:rPr>
          <w:rFonts w:ascii="Times New Roman" w:hAnsi="Times New Roman"/>
        </w:rPr>
        <w:t xml:space="preserve">. Problem predstavlja i korištenje digitalnih certifikata na istima obzirom učestalo dolazi do "smrzavanja" računala. Stoga će nam na ovoj poziciji biti potrebno </w:t>
      </w:r>
      <w:r w:rsidR="000D5940">
        <w:rPr>
          <w:rFonts w:ascii="Times New Roman" w:hAnsi="Times New Roman"/>
        </w:rPr>
        <w:t>6.636,00</w:t>
      </w:r>
      <w:r w:rsidR="00155D19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godišnje a</w:t>
      </w:r>
      <w:r w:rsidR="00155D19">
        <w:rPr>
          <w:rFonts w:ascii="Times New Roman" w:hAnsi="Times New Roman"/>
        </w:rPr>
        <w:t xml:space="preserve"> sve u svrhu zamijene diskova (</w:t>
      </w:r>
      <w:r>
        <w:rPr>
          <w:rFonts w:ascii="Times New Roman" w:hAnsi="Times New Roman"/>
        </w:rPr>
        <w:t>SDD umjesto HDD).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PRIJENOS SREDSTAVA IZ PRETHODNE I U SLJEDEĆU GODINU: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Općinski sud u Rijeci izuzev prijenosa vlastitih prihoda, a ko</w:t>
      </w:r>
      <w:r w:rsidR="00EA7294">
        <w:rPr>
          <w:rFonts w:ascii="Times New Roman" w:hAnsi="Times New Roman"/>
        </w:rPr>
        <w:t>ji su za 2022</w:t>
      </w:r>
      <w:r w:rsidR="007027C2">
        <w:rPr>
          <w:rFonts w:ascii="Times New Roman" w:hAnsi="Times New Roman"/>
        </w:rPr>
        <w:t>.</w:t>
      </w:r>
      <w:r w:rsidR="00EA7294">
        <w:rPr>
          <w:rFonts w:ascii="Times New Roman" w:hAnsi="Times New Roman"/>
        </w:rPr>
        <w:t xml:space="preserve"> godinu iznosili </w:t>
      </w:r>
      <w:r w:rsidR="000D5940">
        <w:rPr>
          <w:rFonts w:ascii="Times New Roman" w:hAnsi="Times New Roman"/>
        </w:rPr>
        <w:t>448,00</w:t>
      </w:r>
      <w:r w:rsidR="00EA7294">
        <w:rPr>
          <w:rFonts w:ascii="Times New Roman" w:hAnsi="Times New Roman"/>
        </w:rPr>
        <w:t xml:space="preserve"> </w:t>
      </w:r>
      <w:r w:rsidR="0073469E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, te novčanih sredstava osiguranih za financiranje materijalnih troškova poštanskih usluga, uredskog materijala, kao i za novčane naknade članovima zemljišnoknjižnih povjerenstva u provedbi postupaka obnove zemljišne knjige sukladno Sporazumima sklopljenim između Općinskog suda u Rijeci i općina i gradova prijenos kojih je za 2022. godinu iznosio </w:t>
      </w:r>
      <w:r w:rsidR="000D5940">
        <w:rPr>
          <w:rFonts w:ascii="Times New Roman" w:hAnsi="Times New Roman"/>
        </w:rPr>
        <w:t>11.204,00</w:t>
      </w:r>
      <w:r>
        <w:rPr>
          <w:rFonts w:ascii="Times New Roman" w:hAnsi="Times New Roman"/>
        </w:rPr>
        <w:t xml:space="preserve"> </w:t>
      </w:r>
      <w:r w:rsidR="0073469E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nema drugih prijenosa sredstava u iduću proračunsku godinu.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Prijenos sredstava za 2023.</w:t>
      </w:r>
      <w:r w:rsidR="000D5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godinu teško je predvidjeti obzirom isto ovisi o uspješnosti naplate vlastitih prihoda, utrošenim sredstvima do kraja proračunske 2022.</w:t>
      </w:r>
      <w:r w:rsidR="00734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godine, te  financiranja od strane općina i gradova.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UKUPNE I DOSPJELE OBVEZE:</w:t>
      </w: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27C2" w:rsidTr="007027C2">
        <w:tc>
          <w:tcPr>
            <w:tcW w:w="1812" w:type="dxa"/>
            <w:vMerge w:val="restart"/>
          </w:tcPr>
          <w:p w:rsidR="007027C2" w:rsidRDefault="007027C2" w:rsidP="00721BC6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31.12.2021.</w:t>
            </w:r>
          </w:p>
        </w:tc>
        <w:tc>
          <w:tcPr>
            <w:tcW w:w="3626" w:type="dxa"/>
            <w:gridSpan w:val="2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30.06.2022.</w:t>
            </w:r>
          </w:p>
        </w:tc>
      </w:tr>
      <w:tr w:rsidR="007027C2" w:rsidTr="007027C2">
        <w:tc>
          <w:tcPr>
            <w:tcW w:w="1812" w:type="dxa"/>
            <w:vMerge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</w:t>
            </w: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1813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</w:t>
            </w:r>
          </w:p>
        </w:tc>
        <w:tc>
          <w:tcPr>
            <w:tcW w:w="1813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</w:tr>
      <w:tr w:rsidR="007027C2" w:rsidTr="007027C2"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Ukupne obveze</w:t>
            </w: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93.326.557,70</w:t>
            </w: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12.386.562,84</w:t>
            </w:r>
          </w:p>
        </w:tc>
        <w:tc>
          <w:tcPr>
            <w:tcW w:w="1813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105.413.071,00</w:t>
            </w:r>
          </w:p>
        </w:tc>
        <w:tc>
          <w:tcPr>
            <w:tcW w:w="1813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13.990.718,83</w:t>
            </w:r>
          </w:p>
        </w:tc>
      </w:tr>
      <w:tr w:rsidR="007027C2" w:rsidTr="007027C2"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Dospjele obveze</w:t>
            </w: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117.813,00</w:t>
            </w:r>
          </w:p>
        </w:tc>
        <w:tc>
          <w:tcPr>
            <w:tcW w:w="1812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15.636,47</w:t>
            </w:r>
          </w:p>
        </w:tc>
        <w:tc>
          <w:tcPr>
            <w:tcW w:w="1813" w:type="dxa"/>
            <w:vAlign w:val="center"/>
          </w:tcPr>
          <w:p w:rsidR="007027C2" w:rsidRDefault="007027C2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575.246,00</w:t>
            </w:r>
          </w:p>
        </w:tc>
        <w:tc>
          <w:tcPr>
            <w:tcW w:w="1813" w:type="dxa"/>
            <w:vAlign w:val="center"/>
          </w:tcPr>
          <w:p w:rsidR="007027C2" w:rsidRDefault="002F133D" w:rsidP="007027C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76.348,26</w:t>
            </w:r>
          </w:p>
        </w:tc>
      </w:tr>
    </w:tbl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</w:p>
    <w:p w:rsidR="00721BC6" w:rsidRDefault="00721BC6" w:rsidP="00721BC6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</w:p>
    <w:sectPr w:rsidR="00721BC6" w:rsidSect="00721BC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42" w:rsidRDefault="00B16242" w:rsidP="00721BC6">
      <w:pPr>
        <w:spacing w:after="0" w:line="240" w:lineRule="auto"/>
      </w:pPr>
      <w:r>
        <w:separator/>
      </w:r>
    </w:p>
  </w:endnote>
  <w:endnote w:type="continuationSeparator" w:id="0">
    <w:p w:rsidR="00B16242" w:rsidRDefault="00B16242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42" w:rsidRDefault="00B16242" w:rsidP="00721BC6">
      <w:pPr>
        <w:spacing w:after="0" w:line="240" w:lineRule="auto"/>
      </w:pPr>
      <w:r>
        <w:separator/>
      </w:r>
    </w:p>
  </w:footnote>
  <w:footnote w:type="continuationSeparator" w:id="0">
    <w:p w:rsidR="00B16242" w:rsidRDefault="00B16242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163507"/>
      <w:docPartObj>
        <w:docPartGallery w:val="Page Numbers (Top of Page)"/>
        <w:docPartUnique/>
      </w:docPartObj>
    </w:sdtPr>
    <w:sdtEndPr/>
    <w:sdtContent>
      <w:p w:rsidR="00721BC6" w:rsidRDefault="00721BC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53">
          <w:rPr>
            <w:noProof/>
          </w:rPr>
          <w:t>3</w:t>
        </w:r>
        <w: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9E"/>
    <w:rsid w:val="00012B51"/>
    <w:rsid w:val="00027267"/>
    <w:rsid w:val="000713EB"/>
    <w:rsid w:val="000762E5"/>
    <w:rsid w:val="000802CF"/>
    <w:rsid w:val="000A3B96"/>
    <w:rsid w:val="000D23E6"/>
    <w:rsid w:val="000D5940"/>
    <w:rsid w:val="0010130E"/>
    <w:rsid w:val="00155D19"/>
    <w:rsid w:val="00173B9E"/>
    <w:rsid w:val="001A2FE5"/>
    <w:rsid w:val="001C0645"/>
    <w:rsid w:val="001E2C21"/>
    <w:rsid w:val="0020019C"/>
    <w:rsid w:val="002613EF"/>
    <w:rsid w:val="002631DD"/>
    <w:rsid w:val="002E4DA1"/>
    <w:rsid w:val="002F133D"/>
    <w:rsid w:val="002F377E"/>
    <w:rsid w:val="00376AC6"/>
    <w:rsid w:val="00422B66"/>
    <w:rsid w:val="0043452E"/>
    <w:rsid w:val="0044607D"/>
    <w:rsid w:val="00472483"/>
    <w:rsid w:val="00497298"/>
    <w:rsid w:val="004F3ABA"/>
    <w:rsid w:val="0055396F"/>
    <w:rsid w:val="005641AF"/>
    <w:rsid w:val="0056751C"/>
    <w:rsid w:val="005C3868"/>
    <w:rsid w:val="005C748D"/>
    <w:rsid w:val="005F2FBC"/>
    <w:rsid w:val="006B426D"/>
    <w:rsid w:val="007027C2"/>
    <w:rsid w:val="00721BC6"/>
    <w:rsid w:val="0073469E"/>
    <w:rsid w:val="00771A34"/>
    <w:rsid w:val="0078570E"/>
    <w:rsid w:val="007943A8"/>
    <w:rsid w:val="00870560"/>
    <w:rsid w:val="00882C78"/>
    <w:rsid w:val="008D58B2"/>
    <w:rsid w:val="008E2C57"/>
    <w:rsid w:val="00917E86"/>
    <w:rsid w:val="0093702D"/>
    <w:rsid w:val="009450F4"/>
    <w:rsid w:val="009D56BF"/>
    <w:rsid w:val="009F044B"/>
    <w:rsid w:val="00A54E0D"/>
    <w:rsid w:val="00A570C7"/>
    <w:rsid w:val="00AF329C"/>
    <w:rsid w:val="00B14FB5"/>
    <w:rsid w:val="00B16242"/>
    <w:rsid w:val="00B52DE0"/>
    <w:rsid w:val="00B754A7"/>
    <w:rsid w:val="00BE6CF8"/>
    <w:rsid w:val="00C10341"/>
    <w:rsid w:val="00C43547"/>
    <w:rsid w:val="00C67853"/>
    <w:rsid w:val="00CB59C7"/>
    <w:rsid w:val="00CE0C52"/>
    <w:rsid w:val="00CE27A6"/>
    <w:rsid w:val="00D01CD6"/>
    <w:rsid w:val="00D35BC0"/>
    <w:rsid w:val="00DD20F1"/>
    <w:rsid w:val="00DD76A1"/>
    <w:rsid w:val="00DE01DF"/>
    <w:rsid w:val="00DF6610"/>
    <w:rsid w:val="00E107F0"/>
    <w:rsid w:val="00E20337"/>
    <w:rsid w:val="00E9703C"/>
    <w:rsid w:val="00EA7294"/>
    <w:rsid w:val="00EB15C1"/>
    <w:rsid w:val="00EB1730"/>
    <w:rsid w:val="00EE25A6"/>
    <w:rsid w:val="00F01899"/>
    <w:rsid w:val="00F32BB0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E528-A861-4CBD-9BA9-BFCC3F0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  <w:style w:type="table" w:styleId="Reetkatablice">
    <w:name w:val="Table Grid"/>
    <w:basedOn w:val="Obinatablica"/>
    <w:uiPriority w:val="39"/>
    <w:rsid w:val="0070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Prgić Ivošić</dc:creator>
  <cp:keywords/>
  <dc:description/>
  <cp:lastModifiedBy>Lea Černi</cp:lastModifiedBy>
  <cp:revision>3</cp:revision>
  <cp:lastPrinted>2022-10-14T07:35:00Z</cp:lastPrinted>
  <dcterms:created xsi:type="dcterms:W3CDTF">2022-12-29T08:36:00Z</dcterms:created>
  <dcterms:modified xsi:type="dcterms:W3CDTF">2022-12-29T09:36:00Z</dcterms:modified>
</cp:coreProperties>
</file>