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AF271C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</w:t>
            </w:r>
            <w:bookmarkStart w:id="0" w:name="_GoBack"/>
            <w:bookmarkEnd w:id="0"/>
            <w:r w:rsidR="00A9078E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 tromjesečje 2023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23447E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84,17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E3443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eastAsia="Arial" w:hAnsi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867"/>
              <w:gridCol w:w="797"/>
              <w:gridCol w:w="759"/>
              <w:gridCol w:w="895"/>
              <w:gridCol w:w="851"/>
              <w:gridCol w:w="752"/>
            </w:tblGrid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184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128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CE3443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69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57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63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65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CE3443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91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67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269</w:t>
                  </w:r>
                </w:p>
              </w:tc>
            </w:tr>
            <w:tr w:rsidR="00A43900" w:rsidRP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CE3443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 xml:space="preserve"> </w:t>
                  </w:r>
                  <w:r w:rsidR="00CE3443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121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 w:rsidR="00CE3443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43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203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178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187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CE3443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112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92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85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258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197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885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CE3443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76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36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409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405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CE3443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53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33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512</w:t>
                  </w:r>
                </w:p>
              </w:tc>
            </w:tr>
            <w:tr w:rsidR="00A43900" w:rsidRP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793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E3443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637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E3443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1668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E3443" w:rsidP="00CE3443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80</w:t>
                  </w:r>
                  <w:r w:rsidR="00A9078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33</w:t>
                  </w:r>
                  <w:r w:rsidR="00A43900"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E3443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238</w:t>
                  </w:r>
                </w:p>
              </w:tc>
            </w:tr>
          </w:tbl>
          <w:p w:rsidR="00A43900" w:rsidRPr="00A43900" w:rsidRDefault="00A43900" w:rsidP="00A43900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</w:p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23447E" w:rsidRPr="0023447E" w:rsidRDefault="0023447E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</w:p>
          <w:p w:rsidR="0023447E" w:rsidRPr="0023447E" w:rsidRDefault="0023447E" w:rsidP="0023447E">
            <w:pPr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="0023447E" w:rsidRPr="0023447E" w:rsidRDefault="0023447E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Nerije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Op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ć</w:t>
                  </w:r>
                  <w:r>
                    <w:rPr>
                      <w:rFonts w:ascii="Arial" w:eastAsia="Arial" w:hAnsi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Postupak izvr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132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A9078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1219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CE3443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 w:rsidR="00CE3443">
                    <w:rPr>
                      <w:rFonts w:ascii="Arial" w:eastAsia="Arial" w:hAnsi="Arial" w:cs="Arial"/>
                      <w:sz w:val="16"/>
                    </w:rPr>
                    <w:t>176</w:t>
                  </w:r>
                  <w:r>
                    <w:rPr>
                      <w:rFonts w:ascii="Arial" w:eastAsia="Arial" w:hAnsi="Arial" w:cs="Arial"/>
                      <w:sz w:val="16"/>
                    </w:rPr>
                    <w:t>,</w:t>
                  </w:r>
                  <w:r w:rsidR="00CE3443">
                    <w:rPr>
                      <w:rFonts w:ascii="Arial" w:eastAsia="Arial" w:hAnsi="Arial" w:cs="Arial"/>
                      <w:sz w:val="16"/>
                    </w:rPr>
                    <w:t>00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E16210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840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A9078E" w:rsidRDefault="00CE3443" w:rsidP="0023447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A9078E" w:rsidP="00CE34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 xml:space="preserve">          </w:t>
                  </w:r>
                  <w:r w:rsidR="00CE344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CE3443" w:rsidP="0023447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/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256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194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986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E16210" w:rsidP="00E16210">
                  <w:pPr>
                    <w:ind w:left="94"/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  <w:r w:rsidR="00A9078E">
                    <w:rPr>
                      <w:rFonts w:ascii="Arial" w:eastAsia="Arial" w:hAnsi="Arial" w:cs="Arial"/>
                      <w:sz w:val="16"/>
                    </w:rPr>
                    <w:t>,</w:t>
                  </w:r>
                  <w:r>
                    <w:rPr>
                      <w:rFonts w:ascii="Arial" w:eastAsia="Arial" w:hAnsi="Arial" w:cs="Arial"/>
                      <w:sz w:val="16"/>
                    </w:rPr>
                    <w:t>78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E16210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463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E3443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E16210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 w:rsidR="00E16210">
                    <w:rPr>
                      <w:rFonts w:ascii="Arial" w:eastAsia="Arial" w:hAnsi="Arial" w:cs="Arial"/>
                      <w:sz w:val="16"/>
                    </w:rPr>
                    <w:t>52</w:t>
                  </w:r>
                  <w:r>
                    <w:rPr>
                      <w:rFonts w:ascii="Arial" w:eastAsia="Arial" w:hAnsi="Arial" w:cs="Arial"/>
                      <w:sz w:val="16"/>
                    </w:rPr>
                    <w:t>,</w:t>
                  </w:r>
                  <w:r w:rsidR="00E16210">
                    <w:rPr>
                      <w:rFonts w:ascii="Arial" w:eastAsia="Arial" w:hAnsi="Arial" w:cs="Arial"/>
                      <w:sz w:val="16"/>
                    </w:rPr>
                    <w:t>38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E16210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182</w:t>
                  </w:r>
                </w:p>
              </w:tc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14"/>
              <w:gridCol w:w="822"/>
              <w:gridCol w:w="760"/>
              <w:gridCol w:w="895"/>
              <w:gridCol w:w="762"/>
              <w:gridCol w:w="760"/>
            </w:tblGrid>
            <w:tr w:rsidR="0023447E" w:rsidRPr="0023447E" w:rsidTr="00CE3443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23447E" w:rsidRDefault="00CE3443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16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E3443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E3443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E16210" w:rsidP="0023447E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25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,00</w:t>
                  </w:r>
                  <w:r w:rsidR="0023447E"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E16210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910</w:t>
                  </w:r>
                </w:p>
              </w:tc>
            </w:tr>
            <w:tr w:rsidR="0023447E" w:rsidRPr="0023447E" w:rsidTr="00CE3443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E3443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369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E3443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341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E3443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E16210" w:rsidP="00E1621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92</w:t>
                  </w:r>
                  <w:r w:rsidR="0023447E"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41</w:t>
                  </w:r>
                  <w:r w:rsidR="0023447E"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E16210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606</w:t>
                  </w:r>
                </w:p>
              </w:tc>
            </w:tr>
          </w:tbl>
          <w:p w:rsidR="0023447E" w:rsidRPr="0023447E" w:rsidRDefault="0023447E" w:rsidP="0023447E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br w:type="page"/>
            </w:r>
          </w:p>
          <w:p w:rsidR="00845463" w:rsidRPr="0023447E" w:rsidRDefault="00845463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1" w:rsidRDefault="000B3551" w:rsidP="00845463">
      <w:pPr>
        <w:spacing w:after="0" w:line="240" w:lineRule="auto"/>
      </w:pPr>
      <w:r>
        <w:separator/>
      </w:r>
    </w:p>
  </w:endnote>
  <w:endnote w:type="continuationSeparator" w:id="0">
    <w:p w:rsidR="000B3551" w:rsidRDefault="000B3551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1" w:rsidRDefault="000B3551" w:rsidP="00845463">
      <w:pPr>
        <w:spacing w:after="0" w:line="240" w:lineRule="auto"/>
      </w:pPr>
      <w:r>
        <w:separator/>
      </w:r>
    </w:p>
  </w:footnote>
  <w:footnote w:type="continuationSeparator" w:id="0">
    <w:p w:rsidR="000B3551" w:rsidRDefault="000B3551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3273D"/>
    <w:rsid w:val="00043E30"/>
    <w:rsid w:val="00083E1A"/>
    <w:rsid w:val="000B0905"/>
    <w:rsid w:val="000B3551"/>
    <w:rsid w:val="000D21EF"/>
    <w:rsid w:val="001501D0"/>
    <w:rsid w:val="001E4744"/>
    <w:rsid w:val="0023447E"/>
    <w:rsid w:val="002E4F7D"/>
    <w:rsid w:val="0032557B"/>
    <w:rsid w:val="00486DB1"/>
    <w:rsid w:val="005610D1"/>
    <w:rsid w:val="006D62BC"/>
    <w:rsid w:val="007170BA"/>
    <w:rsid w:val="00795C1D"/>
    <w:rsid w:val="007D1BF0"/>
    <w:rsid w:val="00833FF2"/>
    <w:rsid w:val="00845463"/>
    <w:rsid w:val="00857047"/>
    <w:rsid w:val="008877EF"/>
    <w:rsid w:val="0089658C"/>
    <w:rsid w:val="00973EA0"/>
    <w:rsid w:val="009A7935"/>
    <w:rsid w:val="00A43900"/>
    <w:rsid w:val="00A9078E"/>
    <w:rsid w:val="00AC5869"/>
    <w:rsid w:val="00AF271C"/>
    <w:rsid w:val="00B74940"/>
    <w:rsid w:val="00B84328"/>
    <w:rsid w:val="00CE3443"/>
    <w:rsid w:val="00D17586"/>
    <w:rsid w:val="00E032CE"/>
    <w:rsid w:val="00E16210"/>
    <w:rsid w:val="00E823B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71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  <w:style w:type="table" w:customStyle="1" w:styleId="TableGrid">
    <w:name w:val="TableGrid"/>
    <w:rsid w:val="00A43900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6</cp:revision>
  <cp:lastPrinted>2023-07-05T11:48:00Z</cp:lastPrinted>
  <dcterms:created xsi:type="dcterms:W3CDTF">2023-07-05T11:33:00Z</dcterms:created>
  <dcterms:modified xsi:type="dcterms:W3CDTF">2023-07-05T11:50:00Z</dcterms:modified>
</cp:coreProperties>
</file>