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2" w:rsidRPr="00B423FF" w:rsidRDefault="002F2B42" w:rsidP="00B423FF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423FF">
        <w:rPr>
          <w:rFonts w:ascii="Times New Roman" w:hAnsi="Times New Roman" w:cs="Times New Roman"/>
          <w:b/>
          <w:szCs w:val="24"/>
        </w:rPr>
        <w:t>OBRAZLOŽENJE POSEBNOG  DIJELA  FINANCIJSKOG PLANA</w:t>
      </w:r>
    </w:p>
    <w:p w:rsidR="00DC362E" w:rsidRPr="00B423FF" w:rsidRDefault="00DC362E" w:rsidP="00B423FF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</w:p>
    <w:p w:rsidR="002F2B42" w:rsidRPr="00B423FF" w:rsidRDefault="00F65E0E" w:rsidP="00B423FF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  <w:r w:rsidRPr="00B423FF">
        <w:rPr>
          <w:rFonts w:ascii="Times New Roman" w:hAnsi="Times New Roman" w:cs="Times New Roman"/>
          <w:b/>
          <w:szCs w:val="24"/>
        </w:rPr>
        <w:t xml:space="preserve">10970 - </w:t>
      </w:r>
      <w:r w:rsidR="002F2B42" w:rsidRPr="00B423FF">
        <w:rPr>
          <w:rFonts w:ascii="Times New Roman" w:hAnsi="Times New Roman" w:cs="Times New Roman"/>
          <w:b/>
          <w:szCs w:val="24"/>
        </w:rPr>
        <w:t>Trgovački sud u Splitu</w:t>
      </w:r>
    </w:p>
    <w:p w:rsidR="002F2B42" w:rsidRPr="00B423FF" w:rsidRDefault="002F2B42" w:rsidP="00B423FF">
      <w:pPr>
        <w:pStyle w:val="Bezproreda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hr-HR"/>
        </w:rPr>
      </w:pPr>
    </w:p>
    <w:p w:rsidR="005A1436" w:rsidRPr="00B423FF" w:rsidRDefault="005A1436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5A1436" w:rsidRPr="00B423FF" w:rsidRDefault="005A1436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>Trgovački sud u Splitu pripada razdjelu 109 Ministarstvo pravosuđa i uprave glava 70 Trgovački sudovi (oznaka 10970). RKP Trgovačkog suda je 3566.</w:t>
      </w:r>
    </w:p>
    <w:p w:rsidR="00CB3BDE" w:rsidRPr="00B423FF" w:rsidRDefault="00CB3BDE" w:rsidP="00B423FF">
      <w:pPr>
        <w:pStyle w:val="Bezproreda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CB3BDE" w:rsidRPr="00B423FF" w:rsidRDefault="00C47BF2" w:rsidP="00B423FF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Cs w:val="24"/>
        </w:rPr>
      </w:pPr>
      <w:r w:rsidRPr="00B423FF">
        <w:rPr>
          <w:rFonts w:eastAsiaTheme="minorHAnsi"/>
          <w:b/>
          <w:szCs w:val="24"/>
        </w:rPr>
        <w:t>SAŽETAK DJELOKRUGA RADA TRGOVAČKOG SUDA U SPLITU</w:t>
      </w:r>
    </w:p>
    <w:p w:rsidR="00CB3BDE" w:rsidRPr="00B423FF" w:rsidRDefault="00CB3BDE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color w:val="000000"/>
          <w:szCs w:val="24"/>
        </w:rPr>
        <w:t xml:space="preserve">Trgovački sud u Splitu je specijaliziran sud, koji  prema Zakonu o sudovima </w:t>
      </w:r>
      <w:r w:rsidRPr="00B423FF">
        <w:rPr>
          <w:rFonts w:ascii="Times New Roman" w:hAnsi="Times New Roman" w:cs="Times New Roman"/>
          <w:szCs w:val="24"/>
        </w:rPr>
        <w:t>(„Narodne novine“  broj: 28/2013., 33/2015., 82/2015., 82/2016., 67/2018., 126/2019., 130/2020., 21/2022., 60/2022. i 16/2023.),</w:t>
      </w:r>
    </w:p>
    <w:p w:rsidR="00CB3BDE" w:rsidRPr="00B423FF" w:rsidRDefault="00CB3BDE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 xml:space="preserve">1. </w:t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odlučuje u parničnim i izvanparničnim stvarima kada je to propisano posebnim zakonom,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2. postupa u registarskim stvarima i vodi sudske registre,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3. odlučuje o prijedlozima u svezi s osnivanjem, radom i prestankom trgovačkog društva,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 xml:space="preserve">4. odlučuje o prijedlozima za otvaranje stečajnog postupka i provodi </w:t>
      </w:r>
      <w:proofErr w:type="spellStart"/>
      <w:r w:rsidRPr="00B423FF">
        <w:rPr>
          <w:rFonts w:ascii="Times New Roman" w:hAnsi="Times New Roman" w:cs="Times New Roman"/>
          <w:szCs w:val="24"/>
          <w:shd w:val="clear" w:color="auto" w:fill="FFFFFF"/>
        </w:rPr>
        <w:t>predstečajne</w:t>
      </w:r>
      <w:proofErr w:type="spellEnd"/>
      <w:r w:rsidRPr="00B423FF">
        <w:rPr>
          <w:rFonts w:ascii="Times New Roman" w:hAnsi="Times New Roman" w:cs="Times New Roman"/>
          <w:szCs w:val="24"/>
          <w:shd w:val="clear" w:color="auto" w:fill="FFFFFF"/>
        </w:rPr>
        <w:t xml:space="preserve"> i stečajne postupke,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5. odlučuje o upisima u upisnik brodova i jahti u onim stvarima koje su Pomorskim zakonikom stavljene u nadležnost trgovačkog suda, ograničenju odgovornosti brodara, prigovorima protiv konačne diobene osnove za likvidaciju zajedničke havarije, ako zakonom za pojedinu vrstu predmeta nije drukčije određeno,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6. provodi postupak priznanja inozemnih sudskih odluka, kao i arbitražnih odluka u trgovačkim sporovima,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7. provodi osiguranje dokaza za postupke za koje su inače nadležni,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8. određuju mjere osiguranja u postupcima i povodom postupaka u kojima su inače nadležni,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9. obavlja poslove međunarodne pravne pomoći u izvođenju dokaza u trgovačkim stvarima,</w:t>
      </w:r>
      <w:r w:rsidRPr="00B423FF">
        <w:rPr>
          <w:rFonts w:ascii="Times New Roman" w:hAnsi="Times New Roman" w:cs="Times New Roman"/>
          <w:szCs w:val="24"/>
        </w:rPr>
        <w:br/>
      </w:r>
      <w:r w:rsidRPr="00B423FF">
        <w:rPr>
          <w:rFonts w:ascii="Times New Roman" w:hAnsi="Times New Roman" w:cs="Times New Roman"/>
          <w:szCs w:val="24"/>
          <w:shd w:val="clear" w:color="auto" w:fill="FFFFFF"/>
        </w:rPr>
        <w:t>10. obavlja i druge poslove određene zakonom.</w:t>
      </w:r>
    </w:p>
    <w:p w:rsidR="00DC362E" w:rsidRPr="00B423FF" w:rsidRDefault="00DC362E" w:rsidP="00B423F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:rsidR="00D44A84" w:rsidRPr="00B423FF" w:rsidRDefault="00C47BF2" w:rsidP="00B423F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Cs w:val="24"/>
          <w:lang w:eastAsia="hr-HR"/>
        </w:rPr>
      </w:pPr>
      <w:r w:rsidRPr="00B423FF">
        <w:rPr>
          <w:rFonts w:ascii="Times New Roman" w:hAnsi="Times New Roman" w:cs="Times New Roman"/>
          <w:b/>
          <w:color w:val="000000"/>
          <w:szCs w:val="24"/>
          <w:lang w:eastAsia="hr-HR"/>
        </w:rPr>
        <w:t>NAJZNAČAJNIJI POSLOVI I IZDACI, PLANIRANA I IZVRŠENA SREDSTVA</w:t>
      </w:r>
    </w:p>
    <w:p w:rsidR="0094426E" w:rsidRPr="00B423FF" w:rsidRDefault="0094426E" w:rsidP="00B423FF">
      <w:pPr>
        <w:pStyle w:val="Bezproreda"/>
        <w:jc w:val="both"/>
        <w:rPr>
          <w:rFonts w:ascii="Times New Roman" w:hAnsi="Times New Roman" w:cs="Times New Roman"/>
          <w:iCs/>
          <w:szCs w:val="24"/>
        </w:rPr>
      </w:pP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iCs/>
          <w:szCs w:val="24"/>
        </w:rPr>
      </w:pPr>
      <w:r w:rsidRPr="00B423FF">
        <w:rPr>
          <w:rFonts w:ascii="Times New Roman" w:hAnsi="Times New Roman" w:cs="Times New Roman"/>
          <w:iCs/>
          <w:szCs w:val="24"/>
        </w:rPr>
        <w:t>Program Trgovačkog suda u Splitu je vođenje sudskih postupaka  (</w:t>
      </w:r>
      <w:r w:rsidR="00372B7F" w:rsidRPr="00B423FF">
        <w:rPr>
          <w:rFonts w:ascii="Times New Roman" w:hAnsi="Times New Roman" w:cs="Times New Roman"/>
          <w:iCs/>
          <w:szCs w:val="24"/>
        </w:rPr>
        <w:t>2803</w:t>
      </w:r>
      <w:r w:rsidRPr="00B423FF">
        <w:rPr>
          <w:rFonts w:ascii="Times New Roman" w:hAnsi="Times New Roman" w:cs="Times New Roman"/>
          <w:iCs/>
          <w:szCs w:val="24"/>
        </w:rPr>
        <w:t>).</w:t>
      </w:r>
    </w:p>
    <w:tbl>
      <w:tblPr>
        <w:tblW w:w="10642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1614"/>
        <w:gridCol w:w="1480"/>
        <w:gridCol w:w="1547"/>
        <w:gridCol w:w="1678"/>
        <w:gridCol w:w="1547"/>
        <w:gridCol w:w="1176"/>
        <w:gridCol w:w="1600"/>
      </w:tblGrid>
      <w:tr w:rsidR="008823D3" w:rsidRPr="00B423FF" w:rsidTr="008823D3">
        <w:trPr>
          <w:trHeight w:val="600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Glava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/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razdjel</w:t>
            </w:r>
            <w:proofErr w:type="spellEnd"/>
          </w:p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Oznaka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valute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Izvršenje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 xml:space="preserve"> 2022.</w:t>
            </w:r>
          </w:p>
        </w:tc>
        <w:tc>
          <w:tcPr>
            <w:tcW w:w="15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2023.</w:t>
            </w:r>
          </w:p>
        </w:tc>
        <w:tc>
          <w:tcPr>
            <w:tcW w:w="1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2024.</w:t>
            </w:r>
          </w:p>
        </w:tc>
        <w:tc>
          <w:tcPr>
            <w:tcW w:w="15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2025.</w:t>
            </w:r>
          </w:p>
        </w:tc>
        <w:tc>
          <w:tcPr>
            <w:tcW w:w="11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2026.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Indeks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 xml:space="preserve"> 2024/2023</w:t>
            </w:r>
          </w:p>
        </w:tc>
      </w:tr>
      <w:tr w:rsidR="008823D3" w:rsidRPr="00B423FF" w:rsidTr="008823D3">
        <w:trPr>
          <w:trHeight w:val="540"/>
        </w:trPr>
        <w:tc>
          <w:tcPr>
            <w:tcW w:w="1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10970</w:t>
            </w:r>
          </w:p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EUR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823D3" w:rsidRPr="00B423FF" w:rsidRDefault="008823D3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1.468.198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8823D3" w:rsidRPr="00B423FF" w:rsidRDefault="007869EE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1.547.656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823D3" w:rsidRPr="00B423FF" w:rsidRDefault="007159A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2.015.973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823D3" w:rsidRPr="00B423FF" w:rsidRDefault="007159A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2.027.737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823D3" w:rsidRPr="00B423FF" w:rsidRDefault="007159A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2.035</w:t>
            </w:r>
            <w:r w:rsidR="008823D3"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.033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823D3" w:rsidRPr="00B423FF" w:rsidRDefault="007159A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130,26</w:t>
            </w:r>
          </w:p>
        </w:tc>
      </w:tr>
    </w:tbl>
    <w:p w:rsidR="00CB3BDE" w:rsidRPr="00B423FF" w:rsidRDefault="00CB3BDE" w:rsidP="00B423FF">
      <w:pPr>
        <w:pStyle w:val="Bezproreda"/>
        <w:ind w:left="1288"/>
        <w:jc w:val="both"/>
        <w:rPr>
          <w:rFonts w:ascii="Times New Roman" w:hAnsi="Times New Roman" w:cs="Times New Roman"/>
          <w:szCs w:val="24"/>
        </w:rPr>
      </w:pPr>
    </w:p>
    <w:p w:rsidR="00CB3BDE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>Cilj Trgovačkog suda u Splitu je jačanje učinkovitosti pravosuđa.</w:t>
      </w: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color w:val="000000"/>
          <w:szCs w:val="24"/>
          <w:lang w:val="en-GB" w:eastAsia="hr-HR"/>
        </w:rPr>
      </w:pPr>
      <w:r w:rsidRPr="00B423FF">
        <w:rPr>
          <w:rFonts w:ascii="Times New Roman" w:hAnsi="Times New Roman" w:cs="Times New Roman"/>
          <w:szCs w:val="24"/>
        </w:rPr>
        <w:t xml:space="preserve">Pokazatelji učinka i rezultata su udio riješenih u odnosu na broj primljenih predmeta odnosno smanjenje </w:t>
      </w:r>
      <w:proofErr w:type="spellStart"/>
      <w:r w:rsidR="00884E41"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broja</w:t>
      </w:r>
      <w:proofErr w:type="spellEnd"/>
      <w:r w:rsidR="00884E41"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="00884E41"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ner</w:t>
      </w:r>
      <w:r w:rsidR="007159A4"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i</w:t>
      </w:r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ješenih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predmeta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u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odnosu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na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broj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neriješenih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predmeta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na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kraju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prethodne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godine</w:t>
      </w:r>
      <w:proofErr w:type="spellEnd"/>
      <w:r w:rsidRPr="00B423FF">
        <w:rPr>
          <w:rFonts w:ascii="Times New Roman" w:hAnsi="Times New Roman" w:cs="Times New Roman"/>
          <w:color w:val="000000"/>
          <w:szCs w:val="24"/>
          <w:lang w:val="en-GB" w:eastAsia="hr-HR"/>
        </w:rPr>
        <w:t>.</w:t>
      </w:r>
    </w:p>
    <w:p w:rsidR="00C47BF2" w:rsidRPr="00B423FF" w:rsidRDefault="00C47BF2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372B7F" w:rsidRPr="00B423FF" w:rsidRDefault="00D44A84" w:rsidP="00B423FF">
      <w:pPr>
        <w:pStyle w:val="Bezproreda"/>
        <w:jc w:val="both"/>
        <w:rPr>
          <w:rFonts w:ascii="Times New Roman" w:hAnsi="Times New Roman" w:cs="Times New Roman"/>
          <w:iCs/>
          <w:szCs w:val="24"/>
        </w:rPr>
      </w:pPr>
      <w:r w:rsidRPr="00B423FF">
        <w:rPr>
          <w:rFonts w:ascii="Times New Roman" w:hAnsi="Times New Roman" w:cs="Times New Roman"/>
          <w:szCs w:val="24"/>
        </w:rPr>
        <w:t>Osnovna aktivnost: vođenje sudskih postupaka iz nadležnosti trgovačkih sudova</w:t>
      </w:r>
      <w:r w:rsidR="00372B7F" w:rsidRPr="00B423FF">
        <w:rPr>
          <w:rFonts w:ascii="Times New Roman" w:hAnsi="Times New Roman" w:cs="Times New Roman"/>
          <w:szCs w:val="24"/>
        </w:rPr>
        <w:t xml:space="preserve"> </w:t>
      </w:r>
      <w:r w:rsidR="00372B7F" w:rsidRPr="00B423FF">
        <w:rPr>
          <w:rFonts w:ascii="Times New Roman" w:hAnsi="Times New Roman" w:cs="Times New Roman"/>
          <w:iCs/>
          <w:szCs w:val="24"/>
        </w:rPr>
        <w:t>( A 639000).</w:t>
      </w: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>Zakonske i druge podloge na kojima se zasnivaju programi</w:t>
      </w:r>
      <w:r w:rsidR="00DE6D53" w:rsidRPr="00B423FF">
        <w:rPr>
          <w:rFonts w:ascii="Times New Roman" w:hAnsi="Times New Roman" w:cs="Times New Roman"/>
          <w:szCs w:val="24"/>
        </w:rPr>
        <w:t>:</w:t>
      </w:r>
      <w:r w:rsidR="00E40895" w:rsidRPr="00B423FF">
        <w:rPr>
          <w:rFonts w:ascii="Times New Roman" w:hAnsi="Times New Roman" w:cs="Times New Roman"/>
          <w:szCs w:val="24"/>
        </w:rPr>
        <w:t xml:space="preserve"> </w:t>
      </w:r>
      <w:r w:rsidRPr="00B423FF">
        <w:rPr>
          <w:rFonts w:ascii="Times New Roman" w:hAnsi="Times New Roman" w:cs="Times New Roman"/>
          <w:iCs/>
          <w:szCs w:val="24"/>
        </w:rPr>
        <w:t>Zakon o sudovima</w:t>
      </w:r>
      <w:r w:rsidR="0094426E" w:rsidRPr="00B423FF">
        <w:rPr>
          <w:rFonts w:ascii="Times New Roman" w:hAnsi="Times New Roman" w:cs="Times New Roman"/>
          <w:iCs/>
          <w:szCs w:val="24"/>
        </w:rPr>
        <w:t xml:space="preserve"> </w:t>
      </w:r>
      <w:r w:rsidR="0094426E" w:rsidRPr="00B423FF">
        <w:rPr>
          <w:rFonts w:ascii="Times New Roman" w:hAnsi="Times New Roman" w:cs="Times New Roman"/>
          <w:szCs w:val="24"/>
        </w:rPr>
        <w:t>(„Narodne novine“  broj: 28/2013., 33/2015., 82/2015., 82/2016., 67/2018., 126/2019., 130/2020.</w:t>
      </w:r>
      <w:r w:rsidR="00E40895" w:rsidRPr="00B423FF">
        <w:rPr>
          <w:rFonts w:ascii="Times New Roman" w:hAnsi="Times New Roman" w:cs="Times New Roman"/>
          <w:szCs w:val="24"/>
        </w:rPr>
        <w:t xml:space="preserve">, 21/2022., 60/2022., 16/2023.) i </w:t>
      </w:r>
      <w:r w:rsidRPr="00B423FF">
        <w:rPr>
          <w:rFonts w:ascii="Times New Roman" w:hAnsi="Times New Roman" w:cs="Times New Roman"/>
          <w:iCs/>
          <w:szCs w:val="24"/>
        </w:rPr>
        <w:t>Zakon o područjima i sjedištima sudova</w:t>
      </w:r>
      <w:r w:rsidR="0094426E" w:rsidRPr="00B423FF">
        <w:rPr>
          <w:rFonts w:ascii="Times New Roman" w:hAnsi="Times New Roman" w:cs="Times New Roman"/>
          <w:iCs/>
          <w:szCs w:val="24"/>
        </w:rPr>
        <w:t xml:space="preserve"> </w:t>
      </w:r>
      <w:r w:rsidR="0094426E" w:rsidRPr="00B423FF">
        <w:rPr>
          <w:rFonts w:ascii="Times New Roman" w:hAnsi="Times New Roman" w:cs="Times New Roman"/>
          <w:szCs w:val="24"/>
        </w:rPr>
        <w:t>(„Narodne novine“  broj: 67/2018., 21/2022.)</w:t>
      </w:r>
      <w:r w:rsidR="00E40895" w:rsidRPr="00B423FF">
        <w:rPr>
          <w:rFonts w:ascii="Times New Roman" w:hAnsi="Times New Roman" w:cs="Times New Roman"/>
          <w:szCs w:val="24"/>
        </w:rPr>
        <w:t>.</w:t>
      </w:r>
    </w:p>
    <w:p w:rsidR="003215FA" w:rsidRPr="00B423FF" w:rsidRDefault="003215FA" w:rsidP="00B423FF">
      <w:pPr>
        <w:pStyle w:val="Bezproreda"/>
        <w:ind w:left="1068"/>
        <w:jc w:val="both"/>
        <w:rPr>
          <w:rFonts w:ascii="Times New Roman" w:hAnsi="Times New Roman" w:cs="Times New Roman"/>
          <w:szCs w:val="24"/>
        </w:rPr>
      </w:pPr>
    </w:p>
    <w:p w:rsidR="00AB4629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lastRenderedPageBreak/>
        <w:t>Usklađeni ciljevi, strategije i programi s dokumentima dugoročnog razvoja</w:t>
      </w: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423FF">
        <w:rPr>
          <w:rFonts w:ascii="Times New Roman" w:hAnsi="Times New Roman" w:cs="Times New Roman"/>
          <w:color w:val="000000" w:themeColor="text1"/>
          <w:szCs w:val="24"/>
        </w:rPr>
        <w:t>Pojačat će se nadzor u pogledu ažurnosti poduzimanja radnji u svakom pojedinom spisu te će se inzistirati na većoj kvaliteti odluka.</w:t>
      </w:r>
      <w:r w:rsidR="00E40895" w:rsidRPr="00B423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423FF">
        <w:rPr>
          <w:rFonts w:ascii="Times New Roman" w:hAnsi="Times New Roman" w:cs="Times New Roman"/>
          <w:color w:val="000000" w:themeColor="text1"/>
          <w:szCs w:val="24"/>
        </w:rPr>
        <w:t>Smanjiti broj starih spisa, maksimalno ažurirati rad u svakom pojedinom spisu, kroz edukacije i sjednice poraditi na većoj kvaliteti rješavanja spisa.</w:t>
      </w:r>
    </w:p>
    <w:p w:rsidR="00E40895" w:rsidRPr="00B423FF" w:rsidRDefault="00BA5C54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423FF">
        <w:rPr>
          <w:rFonts w:ascii="Times New Roman" w:hAnsi="Times New Roman" w:cs="Times New Roman"/>
          <w:color w:val="000000" w:themeColor="text1"/>
          <w:szCs w:val="24"/>
        </w:rPr>
        <w:t>Osnovnom aktivnošću osigurat</w:t>
      </w:r>
      <w:r w:rsidR="00D44A84" w:rsidRPr="00B423FF">
        <w:rPr>
          <w:rFonts w:ascii="Times New Roman" w:hAnsi="Times New Roman" w:cs="Times New Roman"/>
          <w:color w:val="000000" w:themeColor="text1"/>
          <w:szCs w:val="24"/>
        </w:rPr>
        <w:t xml:space="preserve"> će se sredstva za financiranje rashoda za zaposlene i materijalnih rashoda potrebnih za redovno poslovanje suda.</w:t>
      </w:r>
    </w:p>
    <w:p w:rsidR="00C47BF2" w:rsidRPr="00B423FF" w:rsidRDefault="00C47BF2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E6B83" w:rsidRPr="00B423FF" w:rsidRDefault="00E40895" w:rsidP="00B423FF">
      <w:pPr>
        <w:pStyle w:val="Bezproreda"/>
        <w:jc w:val="both"/>
        <w:rPr>
          <w:rFonts w:ascii="Times New Roman" w:hAnsi="Times New Roman" w:cs="Times New Roman"/>
          <w:iCs/>
          <w:szCs w:val="24"/>
        </w:rPr>
      </w:pPr>
      <w:r w:rsidRPr="00B423FF">
        <w:rPr>
          <w:rFonts w:ascii="Times New Roman" w:hAnsi="Times New Roman" w:cs="Times New Roman"/>
          <w:iCs/>
          <w:szCs w:val="24"/>
        </w:rPr>
        <w:t xml:space="preserve">Pokazatelji rezultata </w:t>
      </w: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>Izvještaj o postignutim ciljevima i rezultatima programa temeljenim na pokazateljima uspješnosti iz nadležnosti proračunskog korisnika u prethodnoj godini</w:t>
      </w:r>
      <w:r w:rsidR="00E40895" w:rsidRPr="00B423FF">
        <w:rPr>
          <w:rFonts w:ascii="Times New Roman" w:hAnsi="Times New Roman" w:cs="Times New Roman"/>
          <w:szCs w:val="24"/>
        </w:rPr>
        <w:t>:</w:t>
      </w:r>
    </w:p>
    <w:p w:rsidR="00E40895" w:rsidRPr="00B423FF" w:rsidRDefault="00E40895" w:rsidP="00B423F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:rsidR="00D44A84" w:rsidRPr="00B423FF" w:rsidRDefault="00E40895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 xml:space="preserve">  Po</w:t>
      </w:r>
      <w:r w:rsidR="00D44A84" w:rsidRPr="00B423FF">
        <w:rPr>
          <w:rFonts w:ascii="Times New Roman" w:hAnsi="Times New Roman" w:cs="Times New Roman"/>
          <w:szCs w:val="24"/>
        </w:rPr>
        <w:t>kazatelj učinka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332"/>
        <w:gridCol w:w="1425"/>
        <w:gridCol w:w="1085"/>
        <w:gridCol w:w="1227"/>
        <w:gridCol w:w="1127"/>
        <w:gridCol w:w="1224"/>
        <w:gridCol w:w="1224"/>
        <w:gridCol w:w="1176"/>
      </w:tblGrid>
      <w:tr w:rsidR="00D44A84" w:rsidRPr="00B423FF" w:rsidTr="00E94669">
        <w:trPr>
          <w:trHeight w:val="915"/>
        </w:trPr>
        <w:tc>
          <w:tcPr>
            <w:tcW w:w="1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Pokazatelj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učinka</w:t>
            </w:r>
            <w:proofErr w:type="spellEnd"/>
          </w:p>
        </w:tc>
        <w:tc>
          <w:tcPr>
            <w:tcW w:w="14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Definicija</w:t>
            </w:r>
            <w:proofErr w:type="spellEnd"/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Jedinica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Polazna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</w:p>
        </w:tc>
        <w:tc>
          <w:tcPr>
            <w:tcW w:w="11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Izvor podataka</w:t>
            </w:r>
          </w:p>
        </w:tc>
        <w:tc>
          <w:tcPr>
            <w:tcW w:w="12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(2023.)</w:t>
            </w:r>
          </w:p>
        </w:tc>
        <w:tc>
          <w:tcPr>
            <w:tcW w:w="12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(2024.)</w:t>
            </w:r>
          </w:p>
        </w:tc>
        <w:tc>
          <w:tcPr>
            <w:tcW w:w="9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(2025.)</w:t>
            </w:r>
          </w:p>
        </w:tc>
      </w:tr>
      <w:tr w:rsidR="00D44A84" w:rsidRPr="00B423FF" w:rsidTr="00E94669">
        <w:trPr>
          <w:trHeight w:val="1800"/>
        </w:trPr>
        <w:tc>
          <w:tcPr>
            <w:tcW w:w="13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Udio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riješenih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u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broju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primljenih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Udio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riješenih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u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odnosu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primljenih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Postotak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</w:t>
            </w:r>
            <w:r w:rsidR="00A6344B"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Sudska uprava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</w:t>
            </w:r>
            <w:r w:rsidR="00A6344B"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</w:t>
            </w:r>
            <w:r w:rsidR="00A6344B"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</w:t>
            </w:r>
            <w:r w:rsidR="00A6344B"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</w:t>
            </w:r>
          </w:p>
        </w:tc>
      </w:tr>
    </w:tbl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40895" w:rsidRPr="00B423FF" w:rsidRDefault="00E40895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44A84" w:rsidRPr="00B423FF" w:rsidRDefault="00E40895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 xml:space="preserve">  </w:t>
      </w:r>
      <w:r w:rsidR="00D44A84" w:rsidRPr="00B423FF">
        <w:rPr>
          <w:rFonts w:ascii="Times New Roman" w:hAnsi="Times New Roman" w:cs="Times New Roman"/>
          <w:szCs w:val="24"/>
        </w:rPr>
        <w:t>Pokazatelj rezultata</w:t>
      </w: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tbl>
      <w:tblPr>
        <w:tblW w:w="9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5"/>
        <w:gridCol w:w="1979"/>
        <w:gridCol w:w="960"/>
        <w:gridCol w:w="1180"/>
        <w:gridCol w:w="1174"/>
        <w:gridCol w:w="1220"/>
        <w:gridCol w:w="1161"/>
        <w:gridCol w:w="993"/>
      </w:tblGrid>
      <w:tr w:rsidR="00D44A84" w:rsidRPr="00B423FF" w:rsidTr="00E94669">
        <w:trPr>
          <w:trHeight w:val="915"/>
        </w:trPr>
        <w:tc>
          <w:tcPr>
            <w:tcW w:w="12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Pokazatelj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učinka</w:t>
            </w:r>
            <w:proofErr w:type="spellEnd"/>
          </w:p>
        </w:tc>
        <w:tc>
          <w:tcPr>
            <w:tcW w:w="19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Definicija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Jedinica</w:t>
            </w:r>
            <w:proofErr w:type="spellEnd"/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Polazna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</w:p>
        </w:tc>
        <w:tc>
          <w:tcPr>
            <w:tcW w:w="11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Izvor podataka</w:t>
            </w:r>
          </w:p>
        </w:tc>
        <w:tc>
          <w:tcPr>
            <w:tcW w:w="1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(2023.)</w:t>
            </w:r>
          </w:p>
        </w:tc>
        <w:tc>
          <w:tcPr>
            <w:tcW w:w="116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(2024.)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(2025.)</w:t>
            </w:r>
          </w:p>
        </w:tc>
      </w:tr>
      <w:tr w:rsidR="00D44A84" w:rsidRPr="00B423FF" w:rsidTr="00E94669">
        <w:trPr>
          <w:trHeight w:val="1977"/>
        </w:trPr>
        <w:tc>
          <w:tcPr>
            <w:tcW w:w="12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Smanjenje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neriješenih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Smanjenje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neriješenih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u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odnosu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neriješenih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na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kraju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prethodne</w:t>
            </w:r>
            <w:proofErr w:type="spellEnd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godine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B423FF" w:rsidRDefault="00A6344B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Postotak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B423FF" w:rsidRDefault="00A6344B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B423FF" w:rsidRDefault="00D44A84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Sudska uprava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B423FF" w:rsidRDefault="00A6344B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B423FF" w:rsidRDefault="00A6344B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B423FF" w:rsidRDefault="00A6344B" w:rsidP="00B423FF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B423F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</w:t>
            </w:r>
          </w:p>
        </w:tc>
      </w:tr>
    </w:tbl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423FF">
        <w:rPr>
          <w:rFonts w:ascii="Times New Roman" w:hAnsi="Times New Roman" w:cs="Times New Roman"/>
          <w:color w:val="000000" w:themeColor="text1"/>
          <w:szCs w:val="24"/>
        </w:rPr>
        <w:t xml:space="preserve">U izvršenju programa sudjelovat će sadašnji kadar zaposlenih u Trgovačkom sudu u Splitu. Suci i savjetnici su raspoređeni u sudske odjele tako da je zadržana specijalizacija rada, te im je omogućena dobra edukacija. Edukacije sudaca i službenika od iznimne su važnosti  za postizanje ciljeva svakog proračunskog korisnika. </w:t>
      </w:r>
    </w:p>
    <w:p w:rsidR="00DE16CF" w:rsidRPr="00B423FF" w:rsidRDefault="00DE16CF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72B7F" w:rsidRPr="00B423FF" w:rsidRDefault="00372B7F" w:rsidP="00B423F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423FF">
        <w:rPr>
          <w:rFonts w:ascii="Times New Roman" w:hAnsi="Times New Roman" w:cs="Times New Roman"/>
          <w:b/>
          <w:color w:val="000000" w:themeColor="text1"/>
          <w:szCs w:val="24"/>
        </w:rPr>
        <w:t>ZNAČAJNA FINANCIJSKA ODSTUPANJA</w:t>
      </w:r>
    </w:p>
    <w:p w:rsidR="00372B7F" w:rsidRPr="00B423FF" w:rsidRDefault="00372B7F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72B7F" w:rsidRPr="00B423FF" w:rsidRDefault="00372B7F" w:rsidP="00B423F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B423FF">
        <w:rPr>
          <w:rFonts w:eastAsiaTheme="minorHAnsi"/>
          <w:szCs w:val="24"/>
        </w:rPr>
        <w:t xml:space="preserve">Odstupanja od prošlogodišnjih projekcija došlo je zbog povećanja pozicije 31 – rashodi za zaposlene, a sve zbog povećanja osnovica i koeficijenata pravosudnih dužnosnika i državnih </w:t>
      </w:r>
      <w:r w:rsidRPr="00B423FF">
        <w:rPr>
          <w:rFonts w:eastAsiaTheme="minorHAnsi"/>
          <w:szCs w:val="24"/>
        </w:rPr>
        <w:lastRenderedPageBreak/>
        <w:t>službenika i namještenika, te materijalnih prava službenika i namještenika na temelju   slijedećih  odluka:</w:t>
      </w:r>
    </w:p>
    <w:p w:rsidR="00372B7F" w:rsidRPr="00B423FF" w:rsidRDefault="00372B7F" w:rsidP="00B423FF">
      <w:pPr>
        <w:pStyle w:val="Odlomakpopisa"/>
        <w:numPr>
          <w:ilvl w:val="0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szCs w:val="24"/>
        </w:rPr>
      </w:pPr>
      <w:r w:rsidRPr="00B423FF">
        <w:rPr>
          <w:szCs w:val="24"/>
        </w:rPr>
        <w:t xml:space="preserve">Povećanje osnovice za određivanje osnovne plaće od 6% u Kolektivnom ugovoru za državne službenike i namještenike (Narodne novine broj: 56/22) sklopljen 6.svibnja 2022. </w:t>
      </w:r>
    </w:p>
    <w:p w:rsidR="00372B7F" w:rsidRPr="00B423FF" w:rsidRDefault="00372B7F" w:rsidP="00B423FF">
      <w:pPr>
        <w:pStyle w:val="Odlomakpopisa"/>
        <w:numPr>
          <w:ilvl w:val="0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szCs w:val="24"/>
        </w:rPr>
      </w:pPr>
      <w:r w:rsidRPr="00B423FF">
        <w:rPr>
          <w:szCs w:val="24"/>
        </w:rPr>
        <w:t>Uredba o izmjenama i dopunama Uredbe o nazivima radnih mjesta i koeficijentima složenosti poslova u državnoj službi (Narodne novine broj: 139/22), povećane su plaće namještenicima i sudskim referentima u sudskom registru, ekonomu, računovodstvenom referentu – financijskom knjigovođi, administrativnim referentima, za 5% počev od 8. prosinca 2022.</w:t>
      </w:r>
    </w:p>
    <w:p w:rsidR="00372B7F" w:rsidRPr="00B423FF" w:rsidRDefault="00372B7F" w:rsidP="00B423FF">
      <w:pPr>
        <w:pStyle w:val="Odlomakpopisa"/>
        <w:numPr>
          <w:ilvl w:val="0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szCs w:val="24"/>
        </w:rPr>
      </w:pPr>
      <w:r w:rsidRPr="00B423FF">
        <w:rPr>
          <w:szCs w:val="24"/>
        </w:rPr>
        <w:t>Uredbom o izmjenama Uredbe o nazivima radnih mjesta i koeficijentima složenosti poslova u državnoj službi (Narodne novine broj: 26/23) povećane su plaće administrativnim referentima – sudskim zapisničarima za 7,61% počev od 11. ožujka 2023.</w:t>
      </w:r>
    </w:p>
    <w:p w:rsidR="00372B7F" w:rsidRPr="00B423FF" w:rsidRDefault="00372B7F" w:rsidP="00B423FF">
      <w:pPr>
        <w:pStyle w:val="Odlomakpopisa"/>
        <w:numPr>
          <w:ilvl w:val="0"/>
          <w:numId w:val="9"/>
        </w:numPr>
        <w:overflowPunct/>
        <w:autoSpaceDE/>
        <w:autoSpaceDN/>
        <w:adjustRightInd/>
        <w:ind w:left="690"/>
        <w:contextualSpacing w:val="0"/>
        <w:jc w:val="both"/>
        <w:textAlignment w:val="auto"/>
        <w:rPr>
          <w:bCs/>
          <w:color w:val="231F20"/>
          <w:szCs w:val="24"/>
        </w:rPr>
      </w:pPr>
      <w:r w:rsidRPr="00B423FF">
        <w:rPr>
          <w:szCs w:val="24"/>
        </w:rPr>
        <w:t xml:space="preserve">Odlukom o isplati privremenog dodatka na plaću državnim službenicima i namještenicima, te službenicima i namještenicima u javnim službama (Narodne novine broj: </w:t>
      </w:r>
      <w:r w:rsidRPr="00B423FF">
        <w:rPr>
          <w:bCs/>
          <w:color w:val="231F20"/>
          <w:szCs w:val="24"/>
        </w:rPr>
        <w:t>65/2023) od 1.lipnja 2023.zaposlenima za koje je koeficijent u rasponu od 0,631 do 1,867, mjesečna plaća se povećava za bruto iznos 163,62 ili 130,89 ili 98,17 eura, ovisno o koeficijentu zaposlenika.</w:t>
      </w:r>
    </w:p>
    <w:p w:rsidR="00372B7F" w:rsidRPr="00B423FF" w:rsidRDefault="00372B7F" w:rsidP="00B423FF">
      <w:pPr>
        <w:pStyle w:val="Odlomakpopis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68" w:after="72" w:line="259" w:lineRule="auto"/>
        <w:jc w:val="both"/>
        <w:rPr>
          <w:bCs/>
          <w:color w:val="231F20"/>
        </w:rPr>
      </w:pPr>
      <w:r w:rsidRPr="00B423FF">
        <w:rPr>
          <w:bCs/>
          <w:color w:val="231F20"/>
          <w:szCs w:val="24"/>
        </w:rPr>
        <w:t xml:space="preserve">Odlukom o proglašenju zakona o izmjenama i dopuni  </w:t>
      </w:r>
      <w:r w:rsidRPr="00B423FF">
        <w:rPr>
          <w:szCs w:val="24"/>
        </w:rPr>
        <w:t>Zakona o plaćama sudaca i drugih pravosudnih dužnosnika (Narodne novine broj:  71/2023) povećane su osnovice</w:t>
      </w:r>
      <w:r w:rsidRPr="00B423FF">
        <w:rPr>
          <w:color w:val="231F20"/>
          <w:szCs w:val="24"/>
          <w:shd w:val="clear" w:color="auto" w:fill="FFFFFF"/>
        </w:rPr>
        <w:t xml:space="preserve"> za izračun plaće pravosudnih dužnosnika, te koeficijenti sucima trgovačkih sudova.</w:t>
      </w:r>
      <w:r w:rsidR="00E0401F" w:rsidRPr="00B423FF">
        <w:rPr>
          <w:color w:val="231F20"/>
          <w:szCs w:val="24"/>
          <w:shd w:val="clear" w:color="auto" w:fill="FFFFFF"/>
        </w:rPr>
        <w:t xml:space="preserve"> </w:t>
      </w:r>
      <w:r w:rsidRPr="00B423FF">
        <w:rPr>
          <w:bCs/>
          <w:color w:val="231F20"/>
        </w:rPr>
        <w:t>Odlukom o isplati dodatka na plaću  državnim službenicima i namještenicima u pravosudnim tijelima (</w:t>
      </w:r>
      <w:r w:rsidRPr="00B423FF">
        <w:t xml:space="preserve">Narodne novine broj: </w:t>
      </w:r>
      <w:r w:rsidRPr="00B423FF">
        <w:rPr>
          <w:bCs/>
          <w:color w:val="231F20"/>
        </w:rPr>
        <w:t xml:space="preserve"> 87/2023) zaposlenicima  </w:t>
      </w:r>
      <w:r w:rsidRPr="00B423FF">
        <w:rPr>
          <w:color w:val="231F20"/>
          <w:shd w:val="clear" w:color="auto" w:fill="FFFFFF"/>
        </w:rPr>
        <w:t>za koje je utvrđen koeficijent složenosti poslova do 2,30, određena je  isplata dodatka na plaću u visini od 12 %.</w:t>
      </w:r>
    </w:p>
    <w:p w:rsidR="00372B7F" w:rsidRPr="00B423FF" w:rsidRDefault="00372B7F" w:rsidP="00B423FF">
      <w:pPr>
        <w:pStyle w:val="Odlomakpopis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68" w:after="72" w:line="259" w:lineRule="auto"/>
        <w:jc w:val="both"/>
        <w:rPr>
          <w:bCs/>
          <w:color w:val="231F20"/>
        </w:rPr>
      </w:pPr>
      <w:r w:rsidRPr="00B423FF">
        <w:rPr>
          <w:color w:val="231F20"/>
          <w:shd w:val="clear" w:color="auto" w:fill="FFFFFF"/>
        </w:rPr>
        <w:t>Odlukom o visini regresa za korištenje godišnjih odmora državnih službenika i namještenika i službenika i namještenika u javnim službama za 2023.godinu  (</w:t>
      </w:r>
      <w:r w:rsidRPr="00B423FF">
        <w:t xml:space="preserve">Narodne novine broj: </w:t>
      </w:r>
      <w:r w:rsidRPr="00B423FF">
        <w:rPr>
          <w:color w:val="231F20"/>
          <w:shd w:val="clear" w:color="auto" w:fill="FFFFFF"/>
        </w:rPr>
        <w:t>65/2023) zaposlenici imaju pravo na regres za godišnji odmor u iznosu od 300 EUR-a.</w:t>
      </w:r>
    </w:p>
    <w:p w:rsidR="00DE16CF" w:rsidRPr="00B423FF" w:rsidRDefault="00DE16CF" w:rsidP="00B423FF">
      <w:pPr>
        <w:pStyle w:val="Bezproreda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44A84" w:rsidRPr="00B423FF" w:rsidRDefault="00372B7F" w:rsidP="00B423F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 w:rsidRPr="00B423FF">
        <w:rPr>
          <w:rFonts w:ascii="Times New Roman" w:hAnsi="Times New Roman" w:cs="Times New Roman"/>
          <w:b/>
          <w:szCs w:val="24"/>
        </w:rPr>
        <w:t>ORGANIZACIJSKE PROMJENE</w:t>
      </w:r>
    </w:p>
    <w:p w:rsidR="00DE16CF" w:rsidRPr="00B423FF" w:rsidRDefault="00DE16CF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DE16CF" w:rsidRPr="00B423FF" w:rsidRDefault="00DE16CF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 xml:space="preserve">Trgovački sud u Splitu nije imao statusnih promjena u odnosu na </w:t>
      </w:r>
      <w:r w:rsidR="00BA5C54" w:rsidRPr="00B423FF">
        <w:rPr>
          <w:rFonts w:ascii="Times New Roman" w:hAnsi="Times New Roman" w:cs="Times New Roman"/>
          <w:szCs w:val="24"/>
        </w:rPr>
        <w:t>prethodno proračunsko razdoblje</w:t>
      </w:r>
      <w:r w:rsidRPr="00B423FF">
        <w:rPr>
          <w:rFonts w:ascii="Times New Roman" w:hAnsi="Times New Roman" w:cs="Times New Roman"/>
          <w:szCs w:val="24"/>
        </w:rPr>
        <w:t xml:space="preserve"> te se iste ne očekuju ni u razdoblju 202</w:t>
      </w:r>
      <w:r w:rsidR="00193974" w:rsidRPr="00B423FF">
        <w:rPr>
          <w:rFonts w:ascii="Times New Roman" w:hAnsi="Times New Roman" w:cs="Times New Roman"/>
          <w:szCs w:val="24"/>
        </w:rPr>
        <w:t>4</w:t>
      </w:r>
      <w:r w:rsidRPr="00B423FF">
        <w:rPr>
          <w:rFonts w:ascii="Times New Roman" w:hAnsi="Times New Roman" w:cs="Times New Roman"/>
          <w:szCs w:val="24"/>
        </w:rPr>
        <w:t>.-202</w:t>
      </w:r>
      <w:r w:rsidR="00193974" w:rsidRPr="00B423FF">
        <w:rPr>
          <w:rFonts w:ascii="Times New Roman" w:hAnsi="Times New Roman" w:cs="Times New Roman"/>
          <w:szCs w:val="24"/>
        </w:rPr>
        <w:t>6</w:t>
      </w:r>
      <w:r w:rsidRPr="00B423FF">
        <w:rPr>
          <w:rFonts w:ascii="Times New Roman" w:hAnsi="Times New Roman" w:cs="Times New Roman"/>
          <w:szCs w:val="24"/>
        </w:rPr>
        <w:t>.</w:t>
      </w:r>
    </w:p>
    <w:p w:rsidR="00D44A84" w:rsidRPr="00B423FF" w:rsidRDefault="00D44A84" w:rsidP="00B423FF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</w:p>
    <w:p w:rsidR="00DC362E" w:rsidRDefault="00372B7F" w:rsidP="00B423F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 w:rsidRPr="00B423FF">
        <w:rPr>
          <w:rFonts w:ascii="Times New Roman" w:hAnsi="Times New Roman" w:cs="Times New Roman"/>
          <w:b/>
          <w:szCs w:val="24"/>
        </w:rPr>
        <w:t xml:space="preserve">FINANCIJSKI PLAN ZA 2024. </w:t>
      </w:r>
      <w:r w:rsidR="00B423FF">
        <w:rPr>
          <w:rFonts w:ascii="Times New Roman" w:hAnsi="Times New Roman" w:cs="Times New Roman"/>
          <w:b/>
          <w:szCs w:val="24"/>
        </w:rPr>
        <w:t>–</w:t>
      </w:r>
      <w:r w:rsidRPr="00B423FF">
        <w:rPr>
          <w:rFonts w:ascii="Times New Roman" w:hAnsi="Times New Roman" w:cs="Times New Roman"/>
          <w:b/>
          <w:szCs w:val="24"/>
        </w:rPr>
        <w:t xml:space="preserve"> OBRAZLOŽENJE</w:t>
      </w:r>
    </w:p>
    <w:p w:rsidR="00B423FF" w:rsidRPr="00B423FF" w:rsidRDefault="00B423FF" w:rsidP="00B423FF">
      <w:pPr>
        <w:pStyle w:val="Bezproreda"/>
        <w:ind w:left="928"/>
        <w:jc w:val="both"/>
        <w:rPr>
          <w:rFonts w:ascii="Times New Roman" w:hAnsi="Times New Roman" w:cs="Times New Roman"/>
          <w:b/>
          <w:szCs w:val="24"/>
        </w:rPr>
      </w:pPr>
    </w:p>
    <w:p w:rsidR="00592202" w:rsidRPr="00B423FF" w:rsidRDefault="004A7D3B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Plaće za zaposlene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planirali smo prema stvarnim potrebama, sukladno Pravilniku o unutarnjem redu, Zakonu o plaćama sudaca i drugih pravosudnih dužnosnika, Uredbi o nazivima radnih mjesta i koeficijenata složenosti poslova u državnoj službi, Uredbom Vlade o izmjenama i dopunama uredbe o nazivima radnih mjesta i koeficijentima složenosti poslova u državnoj službi.</w:t>
      </w:r>
      <w:r w:rsidR="00AE21B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Nažalost, nismo u mogućnosti u financijski plan uzeti u obzir nova zapošljavanja, već smo </w:t>
      </w:r>
      <w:r w:rsidR="009D3EC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iznose na pozicijama 3111- plaće za redovan rad i 3132 – doprinosi za obvezno zdravstveno osiguranje planirali u skladu</w:t>
      </w:r>
      <w:r w:rsidR="00AE21B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 odobrenim limitom od strane nadležnog ministarstva. Isti su u dopisu najavili kako će u slučaju nedostatnih sredstava, odobriti sredstva rebalansom ili internim preraspodjelama</w:t>
      </w:r>
      <w:r w:rsidR="00DE61BB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</w:t>
      </w:r>
    </w:p>
    <w:p w:rsidR="00CE4102" w:rsidRPr="00B423FF" w:rsidRDefault="00CE4102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94426E" w:rsidRPr="00B423FF" w:rsidRDefault="004A7D3B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>Trgovački sud u Splitu na</w:t>
      </w:r>
      <w:r w:rsidR="00E0401F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dan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3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0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94426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rujna</w:t>
      </w:r>
      <w:r w:rsidR="0094426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2023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94426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ima 7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6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zaposlenika: 1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dužnosnika, 59 službenika i 4 namještenika.</w:t>
      </w:r>
      <w:r w:rsidR="00E4089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94426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tijeku je postupak za izbor dva suca ovog suda. Nije poznato kada će navedeni postupak biti gotov.</w:t>
      </w:r>
      <w:r w:rsidR="00E4089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274E5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Također su u tijeku </w:t>
      </w:r>
      <w:r w:rsidR="0094426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natječaji za radna mjesta: administrativni referent – sudski zapisničar, viši sudski referent u sudskom registru i sudski savjetnik, i to na upražnjena radna mjesta.</w:t>
      </w:r>
      <w:r w:rsidR="006E46A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Navedeni natječaji će biti gotovi do kraja godine.</w:t>
      </w:r>
    </w:p>
    <w:p w:rsidR="006E46A7" w:rsidRPr="00B423FF" w:rsidRDefault="006E46A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6E46A7" w:rsidRPr="00B423FF" w:rsidRDefault="006E46A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2022. trima službenicama (viša sudska savjetnica, voditelj sudskog registra i viši sudski referent u sudskom registru) produžena</w:t>
      </w:r>
      <w:r w:rsidR="00712A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je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državna služba dok za to postoji potreba, a najkasnije do 67 godine života.</w:t>
      </w:r>
      <w:r w:rsidR="00712A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sljedeće tri godine nekoliko službenik</w:t>
      </w:r>
      <w:r w:rsidR="00712A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 će navršiti 65 godina života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te će se ovisno o zahtjevima tih službenika i potrebama službe odlučiti o eventualnom produženju državne službe.</w:t>
      </w:r>
    </w:p>
    <w:p w:rsidR="006E46A7" w:rsidRPr="00B423FF" w:rsidRDefault="006E46A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6E46A7" w:rsidRPr="00B423FF" w:rsidRDefault="004A7D3B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Očekuje se digitalizacija (skeniranje) zbirke isprava Sudskog registra pa će u tom slučaju </w:t>
      </w:r>
      <w:r w:rsidR="00712A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postojati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potreba za prekovremenim radom. 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202</w:t>
      </w:r>
      <w:r w:rsidR="0019397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712A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su sredstva za plaće i doprinose u iznosu od 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1.7</w:t>
      </w:r>
      <w:r w:rsidR="00DE61BB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66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DE61BB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799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</w:t>
      </w:r>
    </w:p>
    <w:p w:rsidR="00E25871" w:rsidRPr="00B423FF" w:rsidRDefault="00E25871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C35805" w:rsidRPr="00B423FF" w:rsidRDefault="00C35805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szCs w:val="24"/>
          <w:lang w:eastAsia="hr-HR"/>
        </w:rPr>
        <w:t>Ostale rashode za zaposlene planirali smo prema stvarnim potrebama sukladno Kolektivnom ugovorom za dr</w:t>
      </w:r>
      <w:r w:rsidR="00E94669" w:rsidRPr="00B423FF">
        <w:rPr>
          <w:rFonts w:ascii="Times New Roman" w:eastAsia="Times New Roman" w:hAnsi="Times New Roman" w:cs="Times New Roman"/>
          <w:szCs w:val="24"/>
          <w:lang w:eastAsia="hr-HR"/>
        </w:rPr>
        <w:t>žavne službenike i namještenike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. Predložena sredstva za ostale rashode za zaposlene u 2023. sastoje se od sl</w:t>
      </w:r>
      <w:r w:rsidR="00E4700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jedećih isplata: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božićnice i regresa za</w:t>
      </w:r>
      <w:r w:rsidR="00E4700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66 službenika i namještenika,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dara za djecu prigodom Svetog Nikole za 2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>0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 (3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>0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djece), jubilarne nagrade za 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>8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 koji ostvaruju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navedeno pravo, otpremnine za 3</w:t>
      </w:r>
      <w:r w:rsidR="00E4700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te ukalkulirane ostale rashode za zaposlene (razne potpore i pomoći: posmrtna, bolovanje dulje od 90 dana, rođenje djeteta) za 1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službenika. Planirana sredstva za 202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>4.</w:t>
      </w:r>
      <w:r w:rsidR="00E4700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E25871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iznose </w:t>
      </w:r>
      <w:r w:rsidR="00DE61BB" w:rsidRPr="00B423FF">
        <w:rPr>
          <w:rFonts w:ascii="Times New Roman" w:eastAsia="Times New Roman" w:hAnsi="Times New Roman" w:cs="Times New Roman"/>
          <w:szCs w:val="24"/>
          <w:lang w:eastAsia="hr-HR"/>
        </w:rPr>
        <w:t>62.801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EUR.</w:t>
      </w:r>
    </w:p>
    <w:p w:rsidR="00C35805" w:rsidRPr="00B423FF" w:rsidRDefault="00C35805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4642B" w:rsidRPr="00B423FF" w:rsidRDefault="0054642B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2024.</w:t>
      </w:r>
      <w:r w:rsidR="00E4700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su sredstva na podskupini 321 </w:t>
      </w:r>
      <w:r w:rsidR="007647B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iznosu od </w:t>
      </w:r>
      <w:r w:rsidR="00E4700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48.219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EUR. </w:t>
      </w:r>
      <w:r w:rsidRPr="00B423FF">
        <w:rPr>
          <w:rFonts w:ascii="Times New Roman" w:hAnsi="Times New Roman" w:cs="Times New Roman"/>
          <w:color w:val="000000"/>
          <w:szCs w:val="24"/>
          <w:lang w:eastAsia="hr-HR"/>
        </w:rPr>
        <w:t xml:space="preserve">Naknade za prijevoz, za rad na terenu i odvojeni život planirali smo manje, a službena putovanja više u odnosu na proračunski okvir iz svibnja 2023. </w:t>
      </w:r>
      <w:r w:rsidRPr="00B423FF">
        <w:rPr>
          <w:rFonts w:ascii="Times New Roman" w:hAnsi="Times New Roman" w:cs="Times New Roman"/>
          <w:szCs w:val="24"/>
        </w:rPr>
        <w:t> Već smo naprijed spomenuli važnost e</w:t>
      </w:r>
      <w:r w:rsidRPr="00B423FF">
        <w:rPr>
          <w:rFonts w:ascii="Times New Roman" w:hAnsi="Times New Roman" w:cs="Times New Roman"/>
          <w:color w:val="000000" w:themeColor="text1"/>
          <w:szCs w:val="24"/>
        </w:rPr>
        <w:t xml:space="preserve">dukacije sudaca i službenika  za postizanje ciljeva svakog proračunskog korisnika. Nažalost, savjetovanja su organizirana izvan </w:t>
      </w:r>
      <w:r w:rsidR="00E4700D" w:rsidRPr="00B423FF">
        <w:rPr>
          <w:rFonts w:ascii="Times New Roman" w:hAnsi="Times New Roman" w:cs="Times New Roman"/>
          <w:color w:val="000000" w:themeColor="text1"/>
          <w:szCs w:val="24"/>
        </w:rPr>
        <w:t>S</w:t>
      </w:r>
      <w:r w:rsidRPr="00B423FF">
        <w:rPr>
          <w:rFonts w:ascii="Times New Roman" w:hAnsi="Times New Roman" w:cs="Times New Roman"/>
          <w:color w:val="000000" w:themeColor="text1"/>
          <w:szCs w:val="24"/>
        </w:rPr>
        <w:t>plitsko-dalmatinske županije, što zahtijeva i veće troškove suda na poziciji službenih putovanja. Što se tiče n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aknada za prijevoz na posao i s posla planirali smo prema stvarnim potrebama, u skladu s Kolektivnim ugovorom. </w:t>
      </w:r>
      <w:r w:rsidR="00E25871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Kolektivnim ugovorom za državne službenike i namještenike </w:t>
      </w:r>
      <w:r w:rsidR="00E4700D" w:rsidRPr="00B423FF">
        <w:rPr>
          <w:rFonts w:ascii="Times New Roman" w:hAnsi="Times New Roman" w:cs="Times New Roman"/>
          <w:szCs w:val="24"/>
        </w:rPr>
        <w:t xml:space="preserve">(„Narodne novine“ </w:t>
      </w:r>
      <w:r w:rsidR="00E25871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>broj 56/2022</w:t>
      </w:r>
      <w:r w:rsidR="00AB4629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="00E25871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) i Temeljnim kolektivnim ugovorom za službenike i namještenike u javnim službama </w:t>
      </w:r>
      <w:r w:rsidR="00E4700D" w:rsidRPr="00B423FF">
        <w:rPr>
          <w:rFonts w:ascii="Times New Roman" w:hAnsi="Times New Roman" w:cs="Times New Roman"/>
          <w:szCs w:val="24"/>
        </w:rPr>
        <w:t xml:space="preserve">(„Narodne novine“ </w:t>
      </w:r>
      <w:r w:rsidR="00E25871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>broj 56/2022</w:t>
      </w:r>
      <w:r w:rsidR="00AB4629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="00E25871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) visina naknade troškova prijevoza po prijeđenom kilometru, usklađuje se s kretanjem cijene goriva svakog posljednjeg utorka u mjesecu. Postoji mogućnost </w:t>
      </w:r>
      <w:r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odstupanja </w:t>
      </w:r>
      <w:r w:rsidR="00E25871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na ovoj poziciji </w:t>
      </w:r>
      <w:r w:rsidR="002A29D5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>i zbog novih zaposlenja.</w:t>
      </w:r>
      <w:r w:rsidR="007647B0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9D5" w:rsidRPr="00B423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                        </w:t>
      </w:r>
    </w:p>
    <w:p w:rsidR="00C35805" w:rsidRPr="00B423FF" w:rsidRDefault="00C3580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4F1C6A" w:rsidRPr="00B423FF" w:rsidRDefault="00CD5D79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Zatražili smo sredstva n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a podskupini 322 u iznosu od 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43.115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EUR, 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što je za 13.784 eura manje u 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odnosu na svibanj.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Iznos smo smanjili na poziciji 3223 – Energija zbog toga što smo se uskladili sa odobrenim limitom od strane </w:t>
      </w:r>
      <w:r w:rsidR="00CE410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nadležnog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ministarstva. </w:t>
      </w:r>
      <w:r w:rsidR="00CE410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Ugovor o op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skrbi el.</w:t>
      </w:r>
      <w:r w:rsidR="00E4700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energije sklopljen u 2022., nepovoljniji je od prethodnog, odnosno došlo je do poskupljenja cije</w:t>
      </w:r>
      <w:r w:rsidR="004F1C6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na usluge. Trenutno je na snazi Uredba o otklanjanju poremećaja na domaćem tržištu energije </w:t>
      </w:r>
      <w:r w:rsidR="004F1C6A" w:rsidRPr="00B423FF">
        <w:rPr>
          <w:rFonts w:ascii="Times New Roman" w:hAnsi="Times New Roman" w:cs="Times New Roman"/>
          <w:szCs w:val="24"/>
        </w:rPr>
        <w:t xml:space="preserve">(„Narodne novine“  broj: 31/2023.), prema kojoj je ograničena cijena električne energije. </w:t>
      </w:r>
      <w:r w:rsidR="001C18C2" w:rsidRPr="00B423FF">
        <w:rPr>
          <w:rFonts w:ascii="Times New Roman" w:hAnsi="Times New Roman" w:cs="Times New Roman"/>
          <w:szCs w:val="24"/>
        </w:rPr>
        <w:t>Ako</w:t>
      </w:r>
      <w:r w:rsidR="004F1C6A" w:rsidRPr="00B423FF">
        <w:rPr>
          <w:rFonts w:ascii="Times New Roman" w:hAnsi="Times New Roman" w:cs="Times New Roman"/>
          <w:szCs w:val="24"/>
        </w:rPr>
        <w:t xml:space="preserve"> </w:t>
      </w:r>
      <w:r w:rsidR="00E43067" w:rsidRPr="00B423FF">
        <w:rPr>
          <w:rFonts w:ascii="Times New Roman" w:hAnsi="Times New Roman" w:cs="Times New Roman"/>
          <w:szCs w:val="24"/>
        </w:rPr>
        <w:t xml:space="preserve">navedena </w:t>
      </w:r>
      <w:r w:rsidR="004F1C6A" w:rsidRPr="00B423FF">
        <w:rPr>
          <w:rFonts w:ascii="Times New Roman" w:hAnsi="Times New Roman" w:cs="Times New Roman"/>
          <w:szCs w:val="24"/>
        </w:rPr>
        <w:t>vladina mjera</w:t>
      </w:r>
      <w:r w:rsidR="001C18C2" w:rsidRPr="00B423FF">
        <w:rPr>
          <w:rFonts w:ascii="Times New Roman" w:hAnsi="Times New Roman" w:cs="Times New Roman"/>
          <w:szCs w:val="24"/>
        </w:rPr>
        <w:t xml:space="preserve"> ne bude produžena</w:t>
      </w:r>
      <w:r w:rsidR="004F1C6A" w:rsidRPr="00B423FF">
        <w:rPr>
          <w:rFonts w:ascii="Times New Roman" w:hAnsi="Times New Roman" w:cs="Times New Roman"/>
          <w:szCs w:val="24"/>
        </w:rPr>
        <w:t xml:space="preserve">, </w:t>
      </w:r>
      <w:r w:rsidR="00EF0756" w:rsidRPr="00B423FF">
        <w:rPr>
          <w:rFonts w:ascii="Times New Roman" w:hAnsi="Times New Roman" w:cs="Times New Roman"/>
          <w:szCs w:val="24"/>
        </w:rPr>
        <w:t xml:space="preserve">nedostajat će </w:t>
      </w:r>
      <w:r w:rsidR="00E43067" w:rsidRPr="00B423FF">
        <w:rPr>
          <w:rFonts w:ascii="Times New Roman" w:hAnsi="Times New Roman" w:cs="Times New Roman"/>
          <w:szCs w:val="24"/>
        </w:rPr>
        <w:t xml:space="preserve">nam </w:t>
      </w:r>
      <w:r w:rsidR="00EF0756" w:rsidRPr="00B423FF">
        <w:rPr>
          <w:rFonts w:ascii="Times New Roman" w:hAnsi="Times New Roman" w:cs="Times New Roman"/>
          <w:szCs w:val="24"/>
        </w:rPr>
        <w:t>sredstava na ovoj poziciji.</w:t>
      </w:r>
    </w:p>
    <w:p w:rsidR="004F1C6A" w:rsidRPr="00B423FF" w:rsidRDefault="004F1C6A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C35805" w:rsidRPr="00B423FF" w:rsidRDefault="00EF0756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Rashode za usluge u 2024. planirali smo u iznosu od 81.608 EUR, što je manje za 12.000 eura u odnosu na proračunski okvir iz svibnja 2023., radi </w:t>
      </w:r>
      <w:r w:rsidR="004D64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već spomenutog smanjenog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limita. 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Sklopljeni ugovori: Ugovor za najam uređaja i pisača, vrijedi  do travnja 202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., Ugovor o nabavi poštanskih usluga - grupa A</w:t>
      </w:r>
      <w:r w:rsidR="004D64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i B - vrijedi do </w:t>
      </w:r>
      <w:r w:rsidR="007869E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ožujka 2024.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, Ugovor o opskrbi el.</w:t>
      </w:r>
      <w:r w:rsidR="001C18C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energ</w:t>
      </w:r>
      <w:r w:rsidR="007869E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ije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, ožujak 2024., Ugovor za </w:t>
      </w:r>
      <w:proofErr w:type="spellStart"/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elektr</w:t>
      </w:r>
      <w:proofErr w:type="spellEnd"/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1C18C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komun.usl</w:t>
      </w:r>
      <w:proofErr w:type="spellEnd"/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AB462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nepokretnoj mreži,  vrijedi do </w:t>
      </w:r>
      <w:r w:rsidR="004D64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ožujka 2025, Ugovor o </w:t>
      </w:r>
      <w:r w:rsidR="004D64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>nabavi za elektronički prijem pismena, ispisivanje i kuvertiranje vrijedi do ožujka 2024.</w:t>
      </w:r>
      <w:r w:rsidR="007869EE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, Ugovor o opskrbi za gorivo do lipnja i srpnja 2024. Nakon isteka navedenih Ugovora cijene će se mijenjati, odnosno utjecat će na visinu rashoda.</w:t>
      </w:r>
    </w:p>
    <w:p w:rsidR="00C35805" w:rsidRPr="00B423FF" w:rsidRDefault="00C3580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4A7D3B" w:rsidRPr="00B423FF" w:rsidRDefault="004A7D3B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Redovno održavanje novog klimatizacijskog sustava, usluge održavanja zgrade jer nemamo domara. U 202</w:t>
      </w:r>
      <w:r w:rsidR="00E4306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planirana sredstva za tekuće održavanje iznos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E4306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13.840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</w:t>
      </w:r>
      <w:r w:rsidR="00E4306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Ugovor o nabavi usluge redovno preventivnog i iznenadnog održavanja unutarnje i vanjske klima jedinica, vrijedi do prosinca 202</w:t>
      </w:r>
      <w:r w:rsidR="00E4306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., ali smo obvezni produživati ugovor do isteka garancije (5 godina).</w:t>
      </w:r>
      <w:r w:rsidR="009D446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3236 -zdravstvene usluge su planirane sukladno Kolektivnom ugovoru, uračunati su  sistematski pregledi svih zaposlenika te iste za novozaposlene službenike.</w:t>
      </w:r>
    </w:p>
    <w:p w:rsidR="003107AB" w:rsidRPr="00B423FF" w:rsidRDefault="003107AB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AA2C74" w:rsidRPr="00B423FF" w:rsidRDefault="00E4306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Trgovački sud u Splitu zaključio je ugovor o financijskom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leasingu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automobila broj 1061518 s OTP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d.d.iz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Zagreba. Vezano za nabavu osobnog automobila za 2024.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planirali smo na poziciji 3427 </w:t>
      </w:r>
      <w:r w:rsidR="009D3EC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– kamate iznos od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321 </w:t>
      </w:r>
      <w:r w:rsidR="009D3EC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EUR 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i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4231</w:t>
      </w:r>
      <w:r w:rsidR="009D3EC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– glavnica iznos od 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3.34</w:t>
      </w:r>
      <w:r w:rsidR="002A29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9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Planirali smo ulaganje u uredsku opremu i namještaj </w:t>
      </w:r>
      <w:r w:rsidR="00527E8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 novozaposlene pravosudne dužnosnike i državne službenike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iznosu od 79</w:t>
      </w:r>
      <w:r w:rsidR="002A29D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5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 Planirana je nabava opreme u iznosu od 4.144 EUR.</w:t>
      </w:r>
      <w:r w:rsidR="00251F7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Odobreno nam je na poziciji 4511 dodatna ulaganja na građevinskim objektima iznos od 5.000 eura. Dodatna ulaganja odnose se na instaliranje opreme za protupožarnu zaštitu.</w:t>
      </w:r>
    </w:p>
    <w:p w:rsidR="00251F75" w:rsidRPr="00B423FF" w:rsidRDefault="00251F75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82757" w:rsidRPr="00B423FF" w:rsidRDefault="00B8275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Vlastiti prihodi sastoje se od prihoda od fotokopiranja i </w:t>
      </w:r>
      <w:r w:rsidR="005A1436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ma</w:t>
      </w:r>
      <w:r w:rsidR="005A1436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prostora za postavljanje </w:t>
      </w:r>
      <w:proofErr w:type="spellStart"/>
      <w:r w:rsidR="005A1436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="005A1436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aparata. Planiramo ostvariti prihode od 796 EUR. Ugovor o najmu p</w:t>
      </w:r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rostora za postavljanje </w:t>
      </w:r>
      <w:proofErr w:type="spellStart"/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="00CD5D7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5A1436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aparata vrijedi do studenog 202</w:t>
      </w:r>
      <w:r w:rsidR="006E6B8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="005A1436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Ostvarenim vlastitim prihodima podmirit ćemo rashode za nabavu uredskog materijala, usluge tekućeg i investicijskog održavanja, zakupnine i najamnine, reprezentacije i ostale nespomenute rashode poslovanja.</w:t>
      </w:r>
    </w:p>
    <w:p w:rsidR="00B82757" w:rsidRPr="00B423FF" w:rsidRDefault="00B8275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F87910" w:rsidRPr="00B423FF" w:rsidRDefault="005A1436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szCs w:val="24"/>
          <w:lang w:eastAsia="hr-HR"/>
        </w:rPr>
        <w:t>Kamate ostvarene od sredstava koja se vode na računima sudova su namjenski prihod državnog proračuna i koriste se za potrebe pravosudnih tijela</w:t>
      </w:r>
      <w:r w:rsidR="00DE16CF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r w:rsidR="00DE16CF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 o sudovima, NN 28/13 - 60/22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,</w:t>
      </w:r>
      <w:r w:rsidR="00DE16CF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 čl.132.st.5</w:t>
      </w:r>
      <w:r w:rsidR="00C3580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).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U 2022. uplaćeno je od </w:t>
      </w:r>
      <w:r w:rsidR="00207E1B" w:rsidRPr="00B423FF">
        <w:rPr>
          <w:rFonts w:ascii="Times New Roman" w:eastAsia="Times New Roman" w:hAnsi="Times New Roman" w:cs="Times New Roman"/>
          <w:szCs w:val="24"/>
          <w:lang w:eastAsia="hr-HR"/>
        </w:rPr>
        <w:t>39.944 EUR.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Planiramo do kraja </w:t>
      </w:r>
      <w:r w:rsidR="006E6B83" w:rsidRPr="00B423FF">
        <w:rPr>
          <w:rFonts w:ascii="Times New Roman" w:eastAsia="Times New Roman" w:hAnsi="Times New Roman" w:cs="Times New Roman"/>
          <w:szCs w:val="24"/>
          <w:lang w:eastAsia="hr-HR"/>
        </w:rPr>
        <w:t>2024.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povući sredstva iz proračuna te ih koristiti za tekuće i investicijsko održavanje. Plan prihoda za 202</w:t>
      </w:r>
      <w:r w:rsidR="00207E1B" w:rsidRPr="00B423FF"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iznosi 133 EUR.</w:t>
      </w:r>
      <w:r w:rsidR="00F87910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Ostvarenim prihodima podmirit ćemo rashode telefona i poštarine.</w:t>
      </w:r>
    </w:p>
    <w:p w:rsidR="005A1436" w:rsidRPr="00B423FF" w:rsidRDefault="005A1436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A1436" w:rsidRPr="00B423FF" w:rsidRDefault="005A1436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372B7F" w:rsidRPr="00B423FF" w:rsidRDefault="00372B7F" w:rsidP="00B423F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 w:rsidRPr="00B423FF">
        <w:rPr>
          <w:rFonts w:ascii="Times New Roman" w:hAnsi="Times New Roman" w:cs="Times New Roman"/>
          <w:b/>
          <w:szCs w:val="24"/>
        </w:rPr>
        <w:t xml:space="preserve">FINANCIJSKI PLAN ZA 2025. </w:t>
      </w:r>
      <w:r w:rsidR="00E0401F" w:rsidRPr="00B423FF">
        <w:rPr>
          <w:rFonts w:ascii="Times New Roman" w:hAnsi="Times New Roman" w:cs="Times New Roman"/>
          <w:b/>
          <w:szCs w:val="24"/>
        </w:rPr>
        <w:t>–</w:t>
      </w:r>
      <w:r w:rsidRPr="00B423FF">
        <w:rPr>
          <w:rFonts w:ascii="Times New Roman" w:hAnsi="Times New Roman" w:cs="Times New Roman"/>
          <w:b/>
          <w:szCs w:val="24"/>
        </w:rPr>
        <w:t xml:space="preserve"> OBRAZLOŽENJE</w:t>
      </w:r>
    </w:p>
    <w:p w:rsidR="00E0401F" w:rsidRPr="00B423FF" w:rsidRDefault="00E0401F" w:rsidP="00B423FF">
      <w:pPr>
        <w:pStyle w:val="Bezproreda"/>
        <w:ind w:left="928"/>
        <w:jc w:val="both"/>
        <w:rPr>
          <w:rFonts w:ascii="Times New Roman" w:hAnsi="Times New Roman" w:cs="Times New Roman"/>
          <w:szCs w:val="24"/>
        </w:rPr>
      </w:pPr>
    </w:p>
    <w:p w:rsidR="00C35805" w:rsidRPr="00B423FF" w:rsidRDefault="00C3580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Plaće za zaposlene planirali smo prema stvarnim potrebama, sukladno Pravilniku o unutarnjem redu, Zakonu o plaćama sudaca i drugih pravosudnih dužnosnika, Uredbi o nazivima radnih mjesta i koeficijenata složenosti poslova u državnoj službi, Uredbom Vlade o izmjenama i dopunama uredbe o nazivima radnih mjesta i koeficijentima složenosti poslova u državnoj službi. 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Sredstva su planirana na osnovu broja zaposlenih </w:t>
      </w:r>
      <w:r w:rsidR="00F8791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rujnu 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202</w:t>
      </w:r>
      <w:r w:rsidR="00527E8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F8791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(pojašnjenje u planu za 202</w:t>
      </w:r>
      <w:r w:rsidR="00527E8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="00F87910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.)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C5504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Nismo u mogućnosti uzeti u obzir plan zapošljavanja u rujnu 2023.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C5504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zbog limita određenih od strane nadležnog ministarstva. Dakle, </w:t>
      </w:r>
      <w:r w:rsidR="00CE410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uzmemo li u obzir plan zapošljavanja u rujnu 2023.</w:t>
      </w:r>
      <w:r w:rsidR="00C5504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nedostaj</w:t>
      </w:r>
      <w:r w:rsidR="00CE410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at će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nam sredstava. </w:t>
      </w:r>
      <w:r w:rsidR="00CE410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Stupanje na snagu novih zakonskih odredbi često zahtijevaju prekovremeni rad zaposlenika. Planirana su sredstva za prekovremeni rad, za isplatu kojih je obvezan nalog čelnika tijela uz prethodno odobrenje Ministarstva.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2024.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su sredstva za plaće i doprinose u iznosu od </w:t>
      </w:r>
      <w:r w:rsidR="00DE61BB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1.780.000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</w:p>
    <w:p w:rsidR="00A2738A" w:rsidRPr="00B423FF" w:rsidRDefault="00A2738A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527E80" w:rsidRPr="00B423FF" w:rsidRDefault="00527E80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szCs w:val="24"/>
          <w:lang w:eastAsia="hr-HR"/>
        </w:rPr>
        <w:t>Ostale rashode za zaposlene planirali smo prema stvarnim potrebama sukladno Kolektivnom ugovorom za državne službenike i namještenike . Predložena sredstva za ostale rashode za zap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>oslene u 2025. sastoje se od sl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jedećih isp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lata: </w:t>
      </w:r>
      <w:r w:rsidR="00C5504A" w:rsidRPr="00B423FF">
        <w:rPr>
          <w:rFonts w:ascii="Times New Roman" w:eastAsia="Times New Roman" w:hAnsi="Times New Roman" w:cs="Times New Roman"/>
          <w:szCs w:val="24"/>
          <w:lang w:eastAsia="hr-HR"/>
        </w:rPr>
        <w:t>božićnice i regresa za 65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 i namještenika,  dara za djecu prigodom Svetog Nikole za 21 službenika (3</w:t>
      </w:r>
      <w:r w:rsidR="00C5504A" w:rsidRPr="00B423FF">
        <w:rPr>
          <w:rFonts w:ascii="Times New Roman" w:eastAsia="Times New Roman" w:hAnsi="Times New Roman" w:cs="Times New Roman"/>
          <w:szCs w:val="24"/>
          <w:lang w:eastAsia="hr-HR"/>
        </w:rPr>
        <w:t>0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djece), jubilarne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nagrade za 1</w:t>
      </w:r>
      <w:r w:rsidR="00C5504A" w:rsidRPr="00B423FF">
        <w:rPr>
          <w:rFonts w:ascii="Times New Roman" w:eastAsia="Times New Roman" w:hAnsi="Times New Roman" w:cs="Times New Roman"/>
          <w:szCs w:val="24"/>
          <w:lang w:eastAsia="hr-HR"/>
        </w:rPr>
        <w:t>5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 koji ostvaruju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navedeno pravo, otpremnine za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2 službenika te ukalkulirane ostale rashode za zaposlene (razne potpore i pomoći: posmrtna, bolovanje dulje od 90 dana, rođenje djeteta) za 11 službenika.</w:t>
      </w:r>
      <w:r w:rsidR="00C5504A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Planirali smo na ovoj poziciji iznos od </w:t>
      </w:r>
      <w:r w:rsidR="00DE61BB" w:rsidRPr="00B423FF">
        <w:rPr>
          <w:rFonts w:ascii="Times New Roman" w:eastAsia="Times New Roman" w:hAnsi="Times New Roman" w:cs="Times New Roman"/>
          <w:szCs w:val="24"/>
          <w:lang w:eastAsia="hr-HR"/>
        </w:rPr>
        <w:t>63.000</w:t>
      </w:r>
      <w:r w:rsidR="00C5504A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eura.</w:t>
      </w:r>
    </w:p>
    <w:p w:rsidR="007647B0" w:rsidRPr="00B423FF" w:rsidRDefault="007647B0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EF5" w:rsidRPr="00B423FF" w:rsidRDefault="00166EF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Naknada za prijevoz na posao i s posla planirali smo prema stvarnim potrebama, u skladu sa važećim Kolektivnim ugovorom. Planirana sredstva za naknade iznose </w:t>
      </w:r>
      <w:r w:rsidR="00C5504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37.000 EUR (detaljno objašnjenje podskupine 321 u 2024.).</w:t>
      </w:r>
      <w:r w:rsidR="009D446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Smanjili smo ih u odnosu na plan iz svibnja 2023.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9D446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zbog limita za 2.000 eura.</w:t>
      </w:r>
    </w:p>
    <w:p w:rsidR="00C5504A" w:rsidRPr="00B423FF" w:rsidRDefault="00C5504A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9D4464" w:rsidRPr="00B423FF" w:rsidRDefault="00166EF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Zatra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žili smo sredstva sa podskupine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322 u iznosu od 5</w:t>
      </w:r>
      <w:r w:rsidR="00C5504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0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C5504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106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EUR, izvršili smo izmjene u odnosu na svibanj, odnosno </w:t>
      </w:r>
      <w:r w:rsidR="009D446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smanjili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smo ih</w:t>
      </w:r>
      <w:r w:rsidR="009D446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 5.000 eura zbog novog limita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Ugovor o opskrbi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el.energije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sklopljen je u 2022., nepovoljniji je od prethodnog, </w:t>
      </w:r>
      <w:r w:rsidR="009D446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no na snazi je Uredba Vlade RH kojom je ograničena cijena električne energije (objašnjenje u 2024.).</w:t>
      </w:r>
    </w:p>
    <w:p w:rsidR="007647B0" w:rsidRPr="00B423FF" w:rsidRDefault="007647B0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166EF5" w:rsidRPr="00B423FF" w:rsidRDefault="009D4464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okviru naše aktivnosti planirana su sredstva za rashode na podskupini 323 manje u odnosu na svibanj 2023.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za 4.028 eura zbog smanjenog limita za 2025. 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Pozicija 3235-prijelaz sa korištenja vlastite opreme na naj</w:t>
      </w:r>
      <w:r w:rsidR="0016398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m iste, ali ne u cijelosti,  </w:t>
      </w:r>
      <w:r w:rsidR="0016398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3236-zdravstvene usluge su planirane sukladno Kolektivnom ugovoru, u 2025.</w:t>
      </w:r>
      <w:r w:rsidR="00274E5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16398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ne planiramo  sistematske preglede zaposlenika  već samo is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te za novozaposlene službenike. 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Ukupno smo planirali sredstva na poziciji 323 - Rashodi za usluge u iznosu od </w:t>
      </w:r>
      <w:r w:rsidR="0016398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75.473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 Na tekuće održavanje odnosi se </w:t>
      </w:r>
      <w:r w:rsidR="00163984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9.556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EUR, a planirana sredstva utrošiti će se na redovno održavanje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novog klimatizacijskog sustava</w:t>
      </w:r>
      <w:r w:rsidR="00166EF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te usluge održavanja zgrade jer nemamo domara.</w:t>
      </w:r>
    </w:p>
    <w:p w:rsidR="007647B0" w:rsidRPr="00B423FF" w:rsidRDefault="007647B0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B82757" w:rsidRPr="00B423FF" w:rsidRDefault="00163984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Trgovački sud u Splitu zaključio je ugovor o financijskom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leasingu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automobila broj 1061518 s OTP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d.d.iz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Zagreba. Vezano za nabavu osobnog automobila za 2025.godinu planirali smo na poziciji 3427</w:t>
      </w:r>
      <w:r w:rsidR="00274E5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– kamate iznos od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18</w:t>
      </w:r>
      <w:r w:rsidR="00A2738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5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 i 4231 </w:t>
      </w:r>
      <w:r w:rsidR="00274E5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– glavnica iznos od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3.485 EUR.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B8275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Planirali smo ulaganje u uredsku opremu i 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namještaj u iznosu od 796 EUR </w:t>
      </w:r>
      <w:r w:rsidR="00B8275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te dodatna ulaganja na građevinskim objektima</w:t>
      </w:r>
      <w:r w:rsidR="00444B38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 iznosu od 1.327 eura</w:t>
      </w:r>
      <w:r w:rsidR="00B8275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Dodatna ulaganja odnose se na proširenje arhive suda, a nabava ured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</w:t>
      </w:r>
      <w:r w:rsidR="00B8275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kog namještaja i opreme povezana su sa istim.</w:t>
      </w:r>
      <w:r w:rsidR="00444B38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Arhiva sudskog registra je trajna arhiva, koja se ne izlučuje i koja se mora čuvati u sudu.</w:t>
      </w:r>
      <w:r w:rsidR="00B8275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Planirana je nabava opreme u iznosu od 4.281 EUR.</w:t>
      </w:r>
    </w:p>
    <w:p w:rsidR="00166EF5" w:rsidRPr="00B423FF" w:rsidRDefault="00166EF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B82757" w:rsidRPr="00B423FF" w:rsidRDefault="00B8275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Vlastiti prihodi sastoje se od prihoda od fotokopiranja i najma prostora za postavljanje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aparata. Planiramo ostvariti prihode od 796 EUR. Ugovor o najmu prostora za postavljanje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aparata, vrijedi do studenog 202</w:t>
      </w:r>
      <w:r w:rsidR="006E6B8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Ostvarenim vlastitim prihodima podmirit ćemo rashode za nabavu uredskog materijala, usluge tekućeg i investicijskog održavanja, zakupnine i najamnine, reprezentacije i ostale nespomenute rashode poslovanja.</w:t>
      </w:r>
    </w:p>
    <w:p w:rsidR="00B82757" w:rsidRPr="00B423FF" w:rsidRDefault="00B8275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B82757" w:rsidRPr="00B423FF" w:rsidRDefault="00B82757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szCs w:val="24"/>
          <w:lang w:eastAsia="hr-HR"/>
        </w:rPr>
        <w:t>Kamate ostvarene od sredstava koja se vode na računima sudova su namjenski prihod državnog proračuna i koriste se za potrebe pravosudnih tijela (</w:t>
      </w:r>
      <w:r w:rsidR="00AB4629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članak 132. stavak 5.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</w:t>
      </w:r>
      <w:r w:rsidR="00AB462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o sudovima).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Plan prihoda za 2024.iznosi 133 EUR. Ostvarenim prihodima podmirit ćemo rashode telefona i poštarine.</w:t>
      </w:r>
    </w:p>
    <w:p w:rsidR="005A1436" w:rsidRPr="00B423FF" w:rsidRDefault="005A1436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0401F" w:rsidRPr="00B423FF" w:rsidRDefault="00E0401F" w:rsidP="00B423F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 w:rsidRPr="00B423FF">
        <w:rPr>
          <w:rFonts w:ascii="Times New Roman" w:hAnsi="Times New Roman" w:cs="Times New Roman"/>
          <w:b/>
          <w:szCs w:val="24"/>
        </w:rPr>
        <w:t>FINANCIJSKI PLAN ZA 2025. - OBRAZLOŽENJE</w:t>
      </w:r>
    </w:p>
    <w:p w:rsidR="00F87910" w:rsidRPr="00B423FF" w:rsidRDefault="00F87910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87910" w:rsidRPr="00B423FF" w:rsidRDefault="00F87910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Plaće za zaposlene planirali smo prema stvarnim potrebama, sukladno Pravilniku o unutarnjem redu, Zakonu o plaćama sudaca i drugih pravosudnih dužnosnika, Uredbi o nazivima radnih mjesta i koeficijenata složenosti poslova u državnoj službi, Uredbom Vlade o izmjenama i dopunama uredbe o nazivima radnih mjesta i koeficijentima složenosti poslova u državnoj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>službi. Sredstva su planir</w:t>
      </w:r>
      <w:r w:rsidR="00A2738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ana sukladno odobrenom limitu nadležnog ministarstva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(pojašnjenje u planu za 202</w:t>
      </w:r>
      <w:r w:rsidR="00A2738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A2738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 2025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). </w:t>
      </w:r>
      <w:r w:rsidR="008823D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Planirana su sredstva za dodatna ulaganja na građevinskim objektima, koja se izvode izvan radnog vremena i subotom, te radi kontrole i nadgledanja njihovog rada javlja se potreba za  prekovremenim r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adom službenika i namještenika.</w:t>
      </w:r>
      <w:r w:rsidR="00CE4102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202</w:t>
      </w:r>
      <w:r w:rsidR="00A2738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6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su sredstva za plaće i doprinose u iznosu od </w:t>
      </w:r>
      <w:r w:rsidR="00A2738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</w:t>
      </w:r>
      <w:r w:rsidR="00DE61BB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785.000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</w:t>
      </w:r>
    </w:p>
    <w:p w:rsidR="00A2738A" w:rsidRPr="00B423FF" w:rsidRDefault="00A2738A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E94669" w:rsidRPr="00B423FF" w:rsidRDefault="000765BA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szCs w:val="24"/>
          <w:lang w:eastAsia="hr-HR"/>
        </w:rPr>
        <w:t>Ostale rashode za zaposlene planirali smo prema stvarnim potrebama sukladno Kolektivnom ugovorom za drž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>avne službenike i namještenike.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Predložena sredstva za ostale rashode za zaposlene u 202</w:t>
      </w:r>
      <w:r w:rsidR="00444B38" w:rsidRPr="00B423FF">
        <w:rPr>
          <w:rFonts w:ascii="Times New Roman" w:eastAsia="Times New Roman" w:hAnsi="Times New Roman" w:cs="Times New Roman"/>
          <w:szCs w:val="24"/>
          <w:lang w:eastAsia="hr-HR"/>
        </w:rPr>
        <w:t>6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. sastoje se od sl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>jedećih isplata: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božićnice i regresa za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65 službenika i namještenika,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>dara za djecu prigodom Svetog Nikole za 21 službenika (32 djece), jubilarne nagrade za 1</w:t>
      </w:r>
      <w:r w:rsidR="00444B38" w:rsidRPr="00B423FF">
        <w:rPr>
          <w:rFonts w:ascii="Times New Roman" w:eastAsia="Times New Roman" w:hAnsi="Times New Roman" w:cs="Times New Roman"/>
          <w:szCs w:val="24"/>
          <w:lang w:eastAsia="hr-HR"/>
        </w:rPr>
        <w:t>7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 koji ostvaruju navedeno pravo, otpremnine za 2 službenika, te ukalkulirane ostale rashode za zaposlene (razne potpore i pomoći: posmrtna, bolovanje dulje od 90 dana, rođenje djeteta) za 1</w:t>
      </w:r>
      <w:r w:rsidR="00444B38" w:rsidRPr="00B423FF">
        <w:rPr>
          <w:rFonts w:ascii="Times New Roman" w:eastAsia="Times New Roman" w:hAnsi="Times New Roman" w:cs="Times New Roman"/>
          <w:szCs w:val="24"/>
          <w:lang w:eastAsia="hr-HR"/>
        </w:rPr>
        <w:t>0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službenika. </w:t>
      </w:r>
      <w:r w:rsidR="00E94669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Obračun je izvršen prema trenutno važećim propisima. Planirana sredstva za 2026.iznose </w:t>
      </w:r>
      <w:r w:rsidR="00DE61BB" w:rsidRPr="00B423FF">
        <w:rPr>
          <w:rFonts w:ascii="Times New Roman" w:eastAsia="Times New Roman" w:hAnsi="Times New Roman" w:cs="Times New Roman"/>
          <w:szCs w:val="24"/>
          <w:lang w:eastAsia="hr-HR"/>
        </w:rPr>
        <w:t>60.000</w:t>
      </w:r>
      <w:r w:rsidR="00E94669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EUR.</w:t>
      </w:r>
    </w:p>
    <w:p w:rsidR="000765BA" w:rsidRPr="00B423FF" w:rsidRDefault="000765BA" w:rsidP="00B423FF">
      <w:pPr>
        <w:pStyle w:val="Bezproreda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65408" w:rsidRPr="00B423FF" w:rsidRDefault="009D3EC7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Planirana sredstva na poziciji 321</w:t>
      </w:r>
      <w:r w:rsidR="00444B38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iznose </w:t>
      </w:r>
      <w:r w:rsidR="00251F75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49.850</w:t>
      </w:r>
      <w:r w:rsidR="00444B38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 </w:t>
      </w:r>
      <w:r w:rsidR="000765B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Naknada za prijevoz na posao i s posla planirali smo prema stvarnim potrebama, u skladu s</w:t>
      </w:r>
      <w:r w:rsidR="0074256D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a važećim Kolektivnim ugovorom. </w:t>
      </w:r>
      <w:r w:rsidR="000765B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Zatražili smo sredstva sa podskupini 322 u iznosu od </w:t>
      </w:r>
      <w:r w:rsidR="00444B38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50.100</w:t>
      </w:r>
      <w:r w:rsidR="000765B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 Ugovor o opskrbi </w:t>
      </w:r>
      <w:proofErr w:type="spellStart"/>
      <w:r w:rsidR="000765B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el.energije</w:t>
      </w:r>
      <w:proofErr w:type="spellEnd"/>
      <w:r w:rsidR="000765B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sklopljen u 2022. nepovoljniji je od prethodnog, odnosno došlo je do poskupljenja cijena usluge.  </w:t>
      </w:r>
      <w:r w:rsidR="00065408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Međutim, Vlada je  Uredbom osigurala povoljnije cijene električne energije.</w:t>
      </w:r>
    </w:p>
    <w:p w:rsidR="007647B0" w:rsidRPr="00B423FF" w:rsidRDefault="007647B0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765BA" w:rsidRPr="00B423FF" w:rsidRDefault="00065408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Smanjena su sredstva na poziciji podskupine 322 </w:t>
      </w:r>
      <w:r w:rsidR="009D3EC7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 323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odnosu na svibanj 2023., iz već prethodno navedenih razloga.  Pozicija 3231-poštanske usluge,  zaključili smo ugovor za navedene usluge u 2022., cijene usluga su se povećale ,  no nije se znatno osjetilo zbog primjene  elektroničke komunikacije na sudu. 3236 -zdravstvene usluge su planirane sukladno Kolektivnom ugovoru, službenici i namještenici imaju pravo na sistematski pregled  u iznosu od 159,27 EUR-a, te su uračunati pregledi  za novozaposlene službenike. Na poziciji 3239 – ostale usluge, povećana su  sredstava zbog obveza suda prema propisima koji su vezani  za Zakon o zaštiti na radu. Ukupno smo planirali sredstva na poziciji 323 - Rashodi za usluge u iznosu od 80.554 eura</w:t>
      </w:r>
      <w:r w:rsidR="008823D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</w:t>
      </w:r>
      <w:r w:rsidR="0095020C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 tekuće održavanje odnosi se 11.500</w:t>
      </w:r>
      <w:r w:rsidR="000765BA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EUR, a planirana sredstva utrošiti će se na redovno održavanje novog klimatizacijskog sustava, te usluge održavanja zgrade jer nemamo domara.</w:t>
      </w:r>
    </w:p>
    <w:p w:rsidR="00065408" w:rsidRPr="00B423FF" w:rsidRDefault="00065408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765BA" w:rsidRPr="00B423FF" w:rsidRDefault="008823D3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Trgovački sud u Splitu zaključio je ugovor o financijskom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leasingu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automobila broj 1061518 s OTP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d.d.iz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Zagreba. Vezano za nabavu osobnog automobila za 2026.godinu planirali smo 2.753 EUR-a, na poziciji 3427</w:t>
      </w:r>
      <w:r w:rsidR="0095020C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– kamata iznos od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45  eura  i 4231 </w:t>
      </w:r>
      <w:r w:rsidR="0095020C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– glavnica iznos od 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2.708 eura.  Planirali smo ulaganje u uredsku opremu i namještaj u iznosu od 796,00 EUR,  te dodatna ulaganja na građevinskim objektima u iznosu od 1.400 EUR-a. Dodatna ulaganja se odnose na radove u arhivi suda. U arhivi suda ne postoji sustav vatrodojave. Kako bi se pravilno zaštitila arhivska građa, potrebno je postaviti sustav vatrodojave u prostorijama zgrade</w:t>
      </w:r>
      <w:r w:rsidR="0095020C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 kojem je smješten dio arhive. </w:t>
      </w:r>
    </w:p>
    <w:p w:rsidR="00251F75" w:rsidRPr="00B423FF" w:rsidRDefault="00251F75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765BA" w:rsidRPr="00B423FF" w:rsidRDefault="000765BA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Vlastiti prihodi sastoje se od prihoda od fotokopiranja i najma prostora za postavljanje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aparata. Planiramo ostvariti prihode od 796 EUR. Ugovor o najmu prostora za postavljanje </w:t>
      </w:r>
      <w:proofErr w:type="spellStart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aparata, vrijedi do studenog 202</w:t>
      </w:r>
      <w:r w:rsidR="006E6B83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Ostvarenim vlastitim prihodima podmirit ćemo rashode za nabavu uredskog materijala, usluge tekućeg i investicijskog održavanja, zakupnine i najamnine, reprezentacije i ostale nespomenute rashode poslovanja.</w:t>
      </w:r>
    </w:p>
    <w:p w:rsidR="000765BA" w:rsidRPr="00B423FF" w:rsidRDefault="000765BA" w:rsidP="00B423FF">
      <w:pPr>
        <w:pStyle w:val="Bezproreda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F87910" w:rsidRPr="00B423FF" w:rsidRDefault="000765BA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eastAsia="Times New Roman" w:hAnsi="Times New Roman" w:cs="Times New Roman"/>
          <w:szCs w:val="24"/>
          <w:lang w:eastAsia="hr-HR"/>
        </w:rPr>
        <w:t>Kamate ostvarene od sredstava koja se vode na računima sudova su namjenski prihod državnog proračuna i koriste se za potrebe pravosudnih tijela (</w:t>
      </w:r>
      <w:r w:rsidR="00AB4629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članak 132. stavak 5. </w:t>
      </w:r>
      <w:r w:rsidR="00AB4629"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Zakona o sudovima</w:t>
      </w:r>
      <w:r w:rsidRPr="00B423F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).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Plan prihoda za 2025.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iznosi 133 EUR. </w:t>
      </w:r>
      <w:r w:rsidR="00065408" w:rsidRPr="00B423FF">
        <w:rPr>
          <w:rFonts w:ascii="Times New Roman" w:eastAsia="Times New Roman" w:hAnsi="Times New Roman" w:cs="Times New Roman"/>
          <w:szCs w:val="24"/>
          <w:lang w:eastAsia="hr-HR"/>
        </w:rPr>
        <w:t>Sreds</w:t>
      </w:r>
      <w:r w:rsidR="0074256D" w:rsidRPr="00B423FF">
        <w:rPr>
          <w:rFonts w:ascii="Times New Roman" w:eastAsia="Times New Roman" w:hAnsi="Times New Roman" w:cs="Times New Roman"/>
          <w:szCs w:val="24"/>
          <w:lang w:eastAsia="hr-HR"/>
        </w:rPr>
        <w:t xml:space="preserve">tva ostalih  prihoda za posebne </w:t>
      </w:r>
      <w:r w:rsidR="00065408" w:rsidRPr="00B423FF">
        <w:rPr>
          <w:rFonts w:ascii="Times New Roman" w:eastAsia="Times New Roman" w:hAnsi="Times New Roman" w:cs="Times New Roman"/>
          <w:szCs w:val="24"/>
          <w:lang w:eastAsia="hr-HR"/>
        </w:rPr>
        <w:t>namjene koristit ćemo za podmirenje rashoda za usluge tekućeg i investicijskog održavanja.</w:t>
      </w:r>
    </w:p>
    <w:p w:rsidR="00193974" w:rsidRPr="00B423FF" w:rsidRDefault="00193974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193974" w:rsidRPr="00B423FF" w:rsidRDefault="00A6344B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 xml:space="preserve">U Splitu, </w:t>
      </w:r>
      <w:r w:rsidR="006E6B83" w:rsidRPr="00B423FF">
        <w:rPr>
          <w:rFonts w:ascii="Times New Roman" w:hAnsi="Times New Roman" w:cs="Times New Roman"/>
          <w:szCs w:val="24"/>
        </w:rPr>
        <w:t>11</w:t>
      </w:r>
      <w:r w:rsidRPr="00B423FF">
        <w:rPr>
          <w:rFonts w:ascii="Times New Roman" w:hAnsi="Times New Roman" w:cs="Times New Roman"/>
          <w:szCs w:val="24"/>
        </w:rPr>
        <w:t>.</w:t>
      </w:r>
      <w:r w:rsidR="00AB4629" w:rsidRPr="00B423FF">
        <w:rPr>
          <w:rFonts w:ascii="Times New Roman" w:hAnsi="Times New Roman" w:cs="Times New Roman"/>
          <w:szCs w:val="24"/>
        </w:rPr>
        <w:t xml:space="preserve"> </w:t>
      </w:r>
      <w:r w:rsidR="006E6B83" w:rsidRPr="00B423FF">
        <w:rPr>
          <w:rFonts w:ascii="Times New Roman" w:hAnsi="Times New Roman" w:cs="Times New Roman"/>
          <w:szCs w:val="24"/>
        </w:rPr>
        <w:t>siječnja</w:t>
      </w:r>
      <w:r w:rsidRPr="00B423FF">
        <w:rPr>
          <w:rFonts w:ascii="Times New Roman" w:hAnsi="Times New Roman" w:cs="Times New Roman"/>
          <w:szCs w:val="24"/>
        </w:rPr>
        <w:t xml:space="preserve"> 202</w:t>
      </w:r>
      <w:r w:rsidR="006E6B83" w:rsidRPr="00B423FF">
        <w:rPr>
          <w:rFonts w:ascii="Times New Roman" w:hAnsi="Times New Roman" w:cs="Times New Roman"/>
          <w:szCs w:val="24"/>
        </w:rPr>
        <w:t>4</w:t>
      </w:r>
      <w:r w:rsidRPr="00B423FF">
        <w:rPr>
          <w:rFonts w:ascii="Times New Roman" w:hAnsi="Times New Roman" w:cs="Times New Roman"/>
          <w:szCs w:val="24"/>
        </w:rPr>
        <w:t>.</w:t>
      </w:r>
    </w:p>
    <w:p w:rsidR="008823D3" w:rsidRPr="00B423FF" w:rsidRDefault="008823D3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823D3" w:rsidRPr="00B423FF" w:rsidRDefault="008823D3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="00AB4629" w:rsidRPr="00B423FF">
        <w:rPr>
          <w:rFonts w:ascii="Times New Roman" w:hAnsi="Times New Roman" w:cs="Times New Roman"/>
          <w:szCs w:val="24"/>
        </w:rPr>
        <w:t>PREDSJEDNIK SUDA</w:t>
      </w:r>
    </w:p>
    <w:p w:rsidR="00AB4629" w:rsidRPr="00B423FF" w:rsidRDefault="00AB4629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823D3" w:rsidRPr="00B423FF" w:rsidRDefault="00AB4629" w:rsidP="00B423FF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</w:r>
      <w:r w:rsidRPr="00B423FF">
        <w:rPr>
          <w:rFonts w:ascii="Times New Roman" w:hAnsi="Times New Roman" w:cs="Times New Roman"/>
          <w:szCs w:val="24"/>
        </w:rPr>
        <w:tab/>
        <w:t xml:space="preserve"> </w:t>
      </w:r>
      <w:r w:rsidR="008823D3" w:rsidRPr="00B423FF">
        <w:rPr>
          <w:rFonts w:ascii="Times New Roman" w:hAnsi="Times New Roman" w:cs="Times New Roman"/>
          <w:szCs w:val="24"/>
        </w:rPr>
        <w:t>Ivan Čulić</w:t>
      </w:r>
    </w:p>
    <w:sectPr w:rsidR="008823D3" w:rsidRPr="00B4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FFB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2394"/>
    <w:multiLevelType w:val="hybridMultilevel"/>
    <w:tmpl w:val="EF066A1C"/>
    <w:lvl w:ilvl="0" w:tplc="6C0208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B23E18"/>
    <w:multiLevelType w:val="hybridMultilevel"/>
    <w:tmpl w:val="135ACEEA"/>
    <w:lvl w:ilvl="0" w:tplc="A0A6A87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87E"/>
    <w:multiLevelType w:val="hybridMultilevel"/>
    <w:tmpl w:val="D9948260"/>
    <w:lvl w:ilvl="0" w:tplc="A12A37D2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94C12CA"/>
    <w:multiLevelType w:val="hybridMultilevel"/>
    <w:tmpl w:val="5B320E26"/>
    <w:lvl w:ilvl="0" w:tplc="E2825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3F82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319A4"/>
    <w:multiLevelType w:val="hybridMultilevel"/>
    <w:tmpl w:val="5B7AB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3085"/>
    <w:multiLevelType w:val="hybridMultilevel"/>
    <w:tmpl w:val="68AAA3F6"/>
    <w:lvl w:ilvl="0" w:tplc="CB169A06">
      <w:start w:val="5"/>
      <w:numFmt w:val="upperLetter"/>
      <w:lvlText w:val="%1)"/>
      <w:lvlJc w:val="left"/>
      <w:pPr>
        <w:ind w:left="1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8" w:hanging="360"/>
      </w:pPr>
    </w:lvl>
    <w:lvl w:ilvl="2" w:tplc="041A001B" w:tentative="1">
      <w:start w:val="1"/>
      <w:numFmt w:val="lowerRoman"/>
      <w:lvlText w:val="%3."/>
      <w:lvlJc w:val="right"/>
      <w:pPr>
        <w:ind w:left="3088" w:hanging="180"/>
      </w:pPr>
    </w:lvl>
    <w:lvl w:ilvl="3" w:tplc="041A000F" w:tentative="1">
      <w:start w:val="1"/>
      <w:numFmt w:val="decimal"/>
      <w:lvlText w:val="%4."/>
      <w:lvlJc w:val="left"/>
      <w:pPr>
        <w:ind w:left="3808" w:hanging="360"/>
      </w:pPr>
    </w:lvl>
    <w:lvl w:ilvl="4" w:tplc="041A0019" w:tentative="1">
      <w:start w:val="1"/>
      <w:numFmt w:val="lowerLetter"/>
      <w:lvlText w:val="%5."/>
      <w:lvlJc w:val="left"/>
      <w:pPr>
        <w:ind w:left="4528" w:hanging="360"/>
      </w:pPr>
    </w:lvl>
    <w:lvl w:ilvl="5" w:tplc="041A001B" w:tentative="1">
      <w:start w:val="1"/>
      <w:numFmt w:val="lowerRoman"/>
      <w:lvlText w:val="%6."/>
      <w:lvlJc w:val="right"/>
      <w:pPr>
        <w:ind w:left="5248" w:hanging="180"/>
      </w:pPr>
    </w:lvl>
    <w:lvl w:ilvl="6" w:tplc="041A000F" w:tentative="1">
      <w:start w:val="1"/>
      <w:numFmt w:val="decimal"/>
      <w:lvlText w:val="%7."/>
      <w:lvlJc w:val="left"/>
      <w:pPr>
        <w:ind w:left="5968" w:hanging="360"/>
      </w:pPr>
    </w:lvl>
    <w:lvl w:ilvl="7" w:tplc="041A0019" w:tentative="1">
      <w:start w:val="1"/>
      <w:numFmt w:val="lowerLetter"/>
      <w:lvlText w:val="%8."/>
      <w:lvlJc w:val="left"/>
      <w:pPr>
        <w:ind w:left="6688" w:hanging="360"/>
      </w:pPr>
    </w:lvl>
    <w:lvl w:ilvl="8" w:tplc="0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F726176"/>
    <w:multiLevelType w:val="hybridMultilevel"/>
    <w:tmpl w:val="687E205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5E31"/>
    <w:multiLevelType w:val="hybridMultilevel"/>
    <w:tmpl w:val="135ACEEA"/>
    <w:lvl w:ilvl="0" w:tplc="A0A6A87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424B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B"/>
    <w:rsid w:val="00065408"/>
    <w:rsid w:val="000765BA"/>
    <w:rsid w:val="00163984"/>
    <w:rsid w:val="00166EF5"/>
    <w:rsid w:val="00193974"/>
    <w:rsid w:val="001C18C2"/>
    <w:rsid w:val="00207E1B"/>
    <w:rsid w:val="00251F75"/>
    <w:rsid w:val="00274E52"/>
    <w:rsid w:val="002A29D5"/>
    <w:rsid w:val="002D4322"/>
    <w:rsid w:val="002F2B42"/>
    <w:rsid w:val="003107AB"/>
    <w:rsid w:val="003215FA"/>
    <w:rsid w:val="00372B7F"/>
    <w:rsid w:val="00444B38"/>
    <w:rsid w:val="004A7D3B"/>
    <w:rsid w:val="004D6405"/>
    <w:rsid w:val="004F1C6A"/>
    <w:rsid w:val="00527E80"/>
    <w:rsid w:val="0054642B"/>
    <w:rsid w:val="00592202"/>
    <w:rsid w:val="005A1436"/>
    <w:rsid w:val="006E46A7"/>
    <w:rsid w:val="006E6B83"/>
    <w:rsid w:val="00712AD5"/>
    <w:rsid w:val="007159A4"/>
    <w:rsid w:val="0074256D"/>
    <w:rsid w:val="007647B0"/>
    <w:rsid w:val="007869EE"/>
    <w:rsid w:val="007D2549"/>
    <w:rsid w:val="007E6116"/>
    <w:rsid w:val="008823D3"/>
    <w:rsid w:val="00884E41"/>
    <w:rsid w:val="0094426E"/>
    <w:rsid w:val="0095020C"/>
    <w:rsid w:val="009A5344"/>
    <w:rsid w:val="009D3EC7"/>
    <w:rsid w:val="009D4464"/>
    <w:rsid w:val="00A131AB"/>
    <w:rsid w:val="00A2738A"/>
    <w:rsid w:val="00A6344B"/>
    <w:rsid w:val="00AA0684"/>
    <w:rsid w:val="00AA2C74"/>
    <w:rsid w:val="00AB4629"/>
    <w:rsid w:val="00AE21B3"/>
    <w:rsid w:val="00B423FF"/>
    <w:rsid w:val="00B82757"/>
    <w:rsid w:val="00BA5C54"/>
    <w:rsid w:val="00BD645F"/>
    <w:rsid w:val="00C35805"/>
    <w:rsid w:val="00C47BF2"/>
    <w:rsid w:val="00C5504A"/>
    <w:rsid w:val="00CB3BDE"/>
    <w:rsid w:val="00CD5D79"/>
    <w:rsid w:val="00CE4102"/>
    <w:rsid w:val="00D401D9"/>
    <w:rsid w:val="00D44A84"/>
    <w:rsid w:val="00DC362E"/>
    <w:rsid w:val="00DE16CF"/>
    <w:rsid w:val="00DE61BB"/>
    <w:rsid w:val="00DE6D53"/>
    <w:rsid w:val="00E0401F"/>
    <w:rsid w:val="00E25871"/>
    <w:rsid w:val="00E40895"/>
    <w:rsid w:val="00E43067"/>
    <w:rsid w:val="00E4700D"/>
    <w:rsid w:val="00E94669"/>
    <w:rsid w:val="00EC15BF"/>
    <w:rsid w:val="00EF0756"/>
    <w:rsid w:val="00F65E0E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AA3"/>
  <w15:docId w15:val="{A79ACE03-8E7D-4FC4-A424-790456F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F1C6A"/>
    <w:pPr>
      <w:spacing w:before="100" w:beforeAutospacing="1" w:after="100" w:afterAutospacing="1"/>
      <w:outlineLvl w:val="4"/>
    </w:pPr>
    <w:rPr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A84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4F1C6A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1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1B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5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0C7-B246-4BF5-82E5-BB9A1DD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Tomaš</dc:creator>
  <cp:lastModifiedBy>Kristina Tomaš</cp:lastModifiedBy>
  <cp:revision>5</cp:revision>
  <cp:lastPrinted>2024-01-11T12:36:00Z</cp:lastPrinted>
  <dcterms:created xsi:type="dcterms:W3CDTF">2024-01-11T11:48:00Z</dcterms:created>
  <dcterms:modified xsi:type="dcterms:W3CDTF">2024-01-12T07:37:00Z</dcterms:modified>
</cp:coreProperties>
</file>