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BB" w:rsidRDefault="00A02CBB" w:rsidP="00A02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POSEBNOG DIJELA IZVRŠENJA FINANCIJSKOG PLANA  ZA RAZDOBLJE 01.SIJEČNJA 2023.-31.PROSINCA 2023.</w:t>
      </w:r>
    </w:p>
    <w:p w:rsidR="00A02CBB" w:rsidRDefault="00A02CBB" w:rsidP="00A02CBB">
      <w:pPr>
        <w:rPr>
          <w:rFonts w:ascii="Times New Roman" w:hAnsi="Times New Roman" w:cs="Times New Roman"/>
          <w:sz w:val="24"/>
          <w:szCs w:val="24"/>
        </w:rPr>
      </w:pPr>
    </w:p>
    <w:p w:rsidR="00A02CBB" w:rsidRDefault="00A02CBB" w:rsidP="00A02CBB">
      <w:pPr>
        <w:rPr>
          <w:rFonts w:ascii="Times New Roman" w:hAnsi="Times New Roman" w:cs="Times New Roman"/>
          <w:sz w:val="24"/>
          <w:szCs w:val="24"/>
        </w:rPr>
      </w:pPr>
    </w:p>
    <w:p w:rsidR="00A02CBB" w:rsidRDefault="000E41A5" w:rsidP="00A02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RAZJEL : </w:t>
      </w:r>
      <w:r w:rsidR="00A02CBB">
        <w:rPr>
          <w:rFonts w:ascii="Times New Roman" w:hAnsi="Times New Roman" w:cs="Times New Roman"/>
          <w:sz w:val="24"/>
          <w:szCs w:val="24"/>
        </w:rPr>
        <w:t>109   MINISTARSTVO PRAVOSUĐA I UPRAVE</w:t>
      </w:r>
    </w:p>
    <w:p w:rsidR="00A02CBB" w:rsidRDefault="00A02CBB" w:rsidP="00A02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GLAVA  : </w:t>
      </w:r>
      <w:r w:rsidR="000E41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0965  </w:t>
      </w:r>
    </w:p>
    <w:p w:rsidR="00A02CBB" w:rsidRDefault="00A02CBB" w:rsidP="00A02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: 6380003</w:t>
      </w:r>
    </w:p>
    <w:p w:rsidR="00A02CBB" w:rsidRDefault="00A02CBB" w:rsidP="00A02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RKP:    </w:t>
      </w:r>
      <w:r w:rsidR="000E41A5">
        <w:rPr>
          <w:rFonts w:ascii="Times New Roman" w:hAnsi="Times New Roman" w:cs="Times New Roman"/>
          <w:sz w:val="24"/>
          <w:szCs w:val="24"/>
        </w:rPr>
        <w:t>347</w:t>
      </w:r>
      <w:r>
        <w:rPr>
          <w:rFonts w:ascii="Times New Roman" w:hAnsi="Times New Roman" w:cs="Times New Roman"/>
          <w:sz w:val="24"/>
          <w:szCs w:val="24"/>
        </w:rPr>
        <w:t xml:space="preserve">0                                                           </w:t>
      </w:r>
      <w:r w:rsidR="000E41A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RAZINA: 11</w:t>
      </w:r>
    </w:p>
    <w:p w:rsidR="00A02CBB" w:rsidRDefault="00A02CBB" w:rsidP="00A02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</w:t>
      </w:r>
      <w:r w:rsidR="000E41A5">
        <w:rPr>
          <w:rFonts w:ascii="Times New Roman" w:hAnsi="Times New Roman" w:cs="Times New Roman"/>
          <w:sz w:val="24"/>
          <w:szCs w:val="24"/>
        </w:rPr>
        <w:t xml:space="preserve">118673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ŠIFRA DJELATNOSTI: 8423</w:t>
      </w:r>
    </w:p>
    <w:p w:rsidR="00A02CBB" w:rsidRDefault="00A02CBB" w:rsidP="00A02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 : ŽUPANIJSKI SUD U SPLITU     ŠIFRA GRADA:  409</w:t>
      </w:r>
    </w:p>
    <w:p w:rsidR="00A02CBB" w:rsidRDefault="00A02CBB" w:rsidP="00A02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POŠTA I MJESTO : 21000 SPLIT                                       ŠIFRA ŽUPANIJA: 17</w:t>
      </w:r>
    </w:p>
    <w:p w:rsidR="00A02CBB" w:rsidRDefault="00A02CBB" w:rsidP="00A02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KUĆNI BROJ: GUNDULIĆEVA 29A</w:t>
      </w:r>
    </w:p>
    <w:p w:rsidR="00A02CBB" w:rsidRDefault="00A02CBB" w:rsidP="00A02CBB">
      <w:pPr>
        <w:rPr>
          <w:rFonts w:ascii="Times New Roman" w:hAnsi="Times New Roman" w:cs="Times New Roman"/>
          <w:sz w:val="24"/>
          <w:szCs w:val="24"/>
        </w:rPr>
      </w:pPr>
    </w:p>
    <w:p w:rsidR="00A02CBB" w:rsidRDefault="00A02CBB" w:rsidP="00A02CBB">
      <w:pPr>
        <w:rPr>
          <w:rFonts w:ascii="Times New Roman" w:hAnsi="Times New Roman" w:cs="Times New Roman"/>
          <w:sz w:val="24"/>
          <w:szCs w:val="24"/>
        </w:rPr>
      </w:pPr>
    </w:p>
    <w:p w:rsidR="000E41A5" w:rsidRDefault="00A02CBB" w:rsidP="00A02C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POSLOVANJA</w:t>
      </w:r>
      <w:bookmarkStart w:id="0" w:name="_GoBack"/>
      <w:bookmarkEnd w:id="0"/>
    </w:p>
    <w:p w:rsidR="00A02CBB" w:rsidRDefault="00A02CBB" w:rsidP="00A0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2023.godin  su izvršeni u ukupnom iznosu od 4.643.569,51 EUR  a čine prihodi iz nadležnog proračuna  za rashode poslovanja , rashode za nabavu nefinancijske imovine u iznosu od 4.639.188,69 EUR (100% u odnosu na plan) te vlastitih prihoda u iznosu 4.380,82 EUR (73,89% u odnosu na plan ) ostvareni od preslika spisa i CD-a, te najma prostora  aparata za kavu i piće.</w:t>
      </w:r>
    </w:p>
    <w:p w:rsidR="006B50C4" w:rsidRDefault="006B50C4" w:rsidP="00A02CBB">
      <w:pPr>
        <w:spacing w:after="0"/>
      </w:pPr>
    </w:p>
    <w:p w:rsidR="00A02CBB" w:rsidRDefault="00A02CBB" w:rsidP="00A02C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0E41A5" w:rsidRDefault="000E41A5" w:rsidP="00A02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CBB" w:rsidRDefault="00A02CBB" w:rsidP="00A02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03">
        <w:rPr>
          <w:rFonts w:ascii="Times New Roman" w:hAnsi="Times New Roman" w:cs="Times New Roman"/>
          <w:sz w:val="24"/>
          <w:szCs w:val="24"/>
        </w:rPr>
        <w:t>Ukupni rashodi izvršeni  su u iznosu od 4.643.569,51 EUR , od čega  od čega 81,08 % čine</w:t>
      </w:r>
    </w:p>
    <w:p w:rsidR="00A02CBB" w:rsidRDefault="00A02CBB" w:rsidP="00A02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03">
        <w:rPr>
          <w:rFonts w:ascii="Times New Roman" w:hAnsi="Times New Roman" w:cs="Times New Roman"/>
          <w:sz w:val="24"/>
          <w:szCs w:val="24"/>
        </w:rPr>
        <w:t>rashodi za zaposlene u iznosu od 3.764.799,17 EUR, dok 878.770,34 EUR odnosi se na</w:t>
      </w:r>
    </w:p>
    <w:p w:rsidR="00A02CBB" w:rsidRDefault="00A02CBB" w:rsidP="00A02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</w:t>
      </w:r>
      <w:r w:rsidRPr="00C47F03">
        <w:rPr>
          <w:rFonts w:ascii="Times New Roman" w:hAnsi="Times New Roman" w:cs="Times New Roman"/>
          <w:sz w:val="24"/>
          <w:szCs w:val="24"/>
        </w:rPr>
        <w:t xml:space="preserve"> rashode i</w:t>
      </w:r>
      <w:r>
        <w:rPr>
          <w:rFonts w:ascii="Times New Roman" w:hAnsi="Times New Roman" w:cs="Times New Roman"/>
          <w:sz w:val="24"/>
          <w:szCs w:val="24"/>
        </w:rPr>
        <w:t xml:space="preserve"> rashode za</w:t>
      </w:r>
      <w:r w:rsidRPr="00C47F03">
        <w:rPr>
          <w:rFonts w:ascii="Times New Roman" w:hAnsi="Times New Roman" w:cs="Times New Roman"/>
          <w:sz w:val="24"/>
          <w:szCs w:val="24"/>
        </w:rPr>
        <w:t xml:space="preserve"> nabavu nefinancijske imovine ili 18,93 %.</w:t>
      </w:r>
    </w:p>
    <w:p w:rsidR="000E41A5" w:rsidRDefault="000E41A5" w:rsidP="00A02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CBB" w:rsidRDefault="00A02CBB" w:rsidP="00A02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Splitu, 27.ožujka 2024.</w:t>
      </w:r>
    </w:p>
    <w:p w:rsidR="00A02CBB" w:rsidRDefault="00A02CBB" w:rsidP="00A02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CBB" w:rsidRDefault="00A02CBB" w:rsidP="00A02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CBB" w:rsidRDefault="00A02CBB" w:rsidP="00A02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CBB" w:rsidRDefault="00A02CBB" w:rsidP="00A02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Odsjeka Financijsko materijalnog poslovanja           Predsjednik suda</w:t>
      </w:r>
    </w:p>
    <w:p w:rsidR="00A02CBB" w:rsidRDefault="00A02CBB" w:rsidP="00A02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CBB" w:rsidRDefault="00A02CBB" w:rsidP="00A02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Rozarija Mušac                                                                   Bruno Klein                                    </w:t>
      </w:r>
    </w:p>
    <w:p w:rsidR="00A02CBB" w:rsidRDefault="00A02CBB" w:rsidP="00A02CBB">
      <w:pPr>
        <w:spacing w:after="0"/>
      </w:pPr>
    </w:p>
    <w:sectPr w:rsidR="00A0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35"/>
    <w:rsid w:val="000E41A5"/>
    <w:rsid w:val="006B50C4"/>
    <w:rsid w:val="00806135"/>
    <w:rsid w:val="00A0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AA81"/>
  <w15:chartTrackingRefBased/>
  <w15:docId w15:val="{1FAD9814-19CB-4FFB-8007-6386D49A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B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>Ministarstvo Pravosuda Republike Hrvatske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Rozarija Mušac</dc:creator>
  <cp:keywords/>
  <dc:description/>
  <cp:lastModifiedBy>Rozarija Mušac</cp:lastModifiedBy>
  <cp:revision>4</cp:revision>
  <dcterms:created xsi:type="dcterms:W3CDTF">2024-03-27T09:14:00Z</dcterms:created>
  <dcterms:modified xsi:type="dcterms:W3CDTF">2024-03-27T09:20:00Z</dcterms:modified>
</cp:coreProperties>
</file>