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5B1C" w:rsidRDefault="002C5B1C" w:rsidP="002C5B1C">
      <w:pPr>
        <w:shd w:val="clear" w:color="auto" w:fill="FFFFFF"/>
        <w:textAlignment w:val="baseline"/>
      </w:pPr>
      <w:r>
        <w:rPr>
          <w:rFonts w:ascii="Minion Pro" w:hAnsi="Minion Pro"/>
          <w:b/>
          <w:bCs/>
          <w:color w:val="3F7FC3"/>
          <w:sz w:val="33"/>
          <w:szCs w:val="33"/>
        </w:rPr>
        <w:t>Pravilnik o polugodišnjem i godišnjem izvještaju o izvršenju proračuna i financijskog plana</w:t>
      </w:r>
    </w:p>
    <w:p w:rsidR="002C5B1C" w:rsidRDefault="002C5B1C" w:rsidP="002C5B1C">
      <w:r>
        <w:t> </w:t>
      </w:r>
    </w:p>
    <w:p w:rsidR="002C5B1C" w:rsidRDefault="002C5B1C" w:rsidP="002C5B1C">
      <w:pPr>
        <w:pStyle w:val="box474667"/>
        <w:shd w:val="clear" w:color="auto" w:fill="FFFFFF"/>
        <w:spacing w:after="72" w:afterAutospacing="0"/>
        <w:jc w:val="center"/>
        <w:textAlignment w:val="baseline"/>
      </w:pPr>
      <w:r>
        <w:rPr>
          <w:color w:val="231F20"/>
          <w:sz w:val="29"/>
          <w:szCs w:val="29"/>
        </w:rPr>
        <w:t>VI. OBJAVA POLUGODIŠNJEG I GODIŠNJEG IZVJEŠTAJA O IZVRŠENJU PRORAČUNA</w:t>
      </w:r>
    </w:p>
    <w:p w:rsidR="002C5B1C" w:rsidRDefault="002C5B1C" w:rsidP="002C5B1C">
      <w:pPr>
        <w:pStyle w:val="box474667"/>
        <w:shd w:val="clear" w:color="auto" w:fill="FFFFFF"/>
        <w:spacing w:after="48" w:afterAutospacing="0"/>
        <w:jc w:val="center"/>
        <w:textAlignment w:val="baseline"/>
      </w:pPr>
      <w:r>
        <w:rPr>
          <w:color w:val="231F20"/>
        </w:rPr>
        <w:t>Članak 57.</w:t>
      </w:r>
    </w:p>
    <w:p w:rsidR="002C5B1C" w:rsidRDefault="002C5B1C" w:rsidP="002C5B1C">
      <w:pPr>
        <w:pStyle w:val="box474667"/>
        <w:shd w:val="clear" w:color="auto" w:fill="FFFFFF"/>
        <w:spacing w:after="48" w:afterAutospacing="0"/>
        <w:ind w:firstLine="408"/>
        <w:textAlignment w:val="baseline"/>
      </w:pPr>
      <w:r>
        <w:rPr>
          <w:color w:val="231F20"/>
        </w:rPr>
        <w:t>(1) Polugodišnji i godišnji izvještaj o izvršenju proračuna te polugodišnji i godišnji izvještaj o izvršenju financijskog plana izvanproračunskog korisnika objavljuju se na mrežnim stranicama Vlade Republike Hrvatske, Ministarstva financija, izvanproračunskog korisnika odnosno jedinice lokalne i područne (regionalne) samouprave u roku od 15 dana od dana usvajanja odnosno davanja suglasnosti od strane Hrvatskog sabora odnosno predstavničkog tijela.</w:t>
      </w:r>
    </w:p>
    <w:p w:rsidR="002C5B1C" w:rsidRDefault="002C5B1C" w:rsidP="002C5B1C">
      <w:pPr>
        <w:pStyle w:val="box474667"/>
        <w:shd w:val="clear" w:color="auto" w:fill="FFFFFF"/>
        <w:spacing w:after="48" w:afterAutospacing="0"/>
        <w:ind w:firstLine="408"/>
        <w:textAlignment w:val="baseline"/>
      </w:pPr>
      <w:r>
        <w:rPr>
          <w:color w:val="231F20"/>
        </w:rPr>
        <w:t>(2) Polugodišnji i godišnji izvještaj o izvršenju financijskog plana proračunskog korisnika objavljuje se na njegovim mrežnim stranicama odnosno na mrežnim stranicama nadležnog ministarstva ili drugog tijela na razini razdjela organizacijske klasifikacije ili na mrežnim stranicama jedinica lokalne i područne (regionalne) samouprave ako proračunski korisnik nema svoje mrežne stranice u roku od 15 dana od dana usvajanja od strane upravljačkog tijela.</w:t>
      </w:r>
    </w:p>
    <w:p w:rsidR="002C5B1C" w:rsidRDefault="002C5B1C" w:rsidP="002C5B1C">
      <w:pPr>
        <w:pStyle w:val="box474667"/>
        <w:shd w:val="clear" w:color="auto" w:fill="FFFFFF"/>
        <w:spacing w:after="48" w:afterAutospacing="0"/>
        <w:ind w:firstLine="408"/>
        <w:textAlignment w:val="baseline"/>
      </w:pPr>
      <w:r>
        <w:rPr>
          <w:color w:val="231F20"/>
        </w:rPr>
        <w:t>(3) Iznimno od stavka 2. ovoga članka, ako proračunski korisnik nema upravljačko tijelo, polugodišnji i godišnji izvještaj o izvršenju financijskog plana proračunskog korisnika objavljuje se na njegovim mrežnim stranicama odnosno na mrežnim stranicama nadležnog ministarstva ili drugog tijela na razini razdjela organizacijske klasifikacije ili na mrežnim stranicama jedinica lokalne i područne (regionalne) samouprave ako proračunski korisnik nema svoje mrežne stranice u rokovima propisanim iz stavka 1. ovoga članka.</w:t>
      </w:r>
    </w:p>
    <w:p w:rsidR="002C5B1C" w:rsidRDefault="002C5B1C" w:rsidP="002C5B1C">
      <w:pPr>
        <w:pStyle w:val="box474667"/>
        <w:shd w:val="clear" w:color="auto" w:fill="FFFFFF"/>
        <w:spacing w:after="48" w:afterAutospacing="0"/>
        <w:ind w:firstLine="408"/>
        <w:textAlignment w:val="baseline"/>
      </w:pPr>
      <w:r>
        <w:rPr>
          <w:color w:val="231F20"/>
        </w:rPr>
        <w:t>(4) Opći i posebni dio polugodišnjeg i godišnjeg izvještaja o izvršenju proračuna i opći i posebni dio polugodišnjeg i godišnjeg izvještaja o izvršenju financijskog plana izvanproračunskog korisnika objavljuju se u »Narodnim novinama« odnosno u službenom glasilu jedinice lokalne i područne (regionalne) samouprave.</w:t>
      </w:r>
    </w:p>
    <w:p w:rsidR="002C5B1C" w:rsidRDefault="002C5B1C" w:rsidP="002C5B1C">
      <w:pPr>
        <w:pStyle w:val="box474667"/>
        <w:shd w:val="clear" w:color="auto" w:fill="FFFFFF"/>
        <w:spacing w:after="48" w:afterAutospacing="0"/>
        <w:ind w:firstLine="408"/>
        <w:textAlignment w:val="baseline"/>
      </w:pPr>
      <w:r>
        <w:rPr>
          <w:color w:val="231F20"/>
        </w:rPr>
        <w:t>(5) Iznimno od stavka 1. ovoga članka, ako Hrvatski sabor odnosno predstavničko tijelo ne donese izvještaje o izvršenju iz stavaka 1. ovoga članka, prijedlozi izvještaja o izvršenju se u roku od 60 dana od dana podnošenja Hrvatskom saboru odnosno predstavničkom tijelu objavljuju na mrežnim stranicama Vlade Republike Hrvatske odnosno mrežnim stranicama jedinice lokalne i područne (regionalne) samouprave.</w:t>
      </w:r>
    </w:p>
    <w:p w:rsidR="002C5B1C" w:rsidRDefault="002C5B1C" w:rsidP="002C5B1C">
      <w:pPr>
        <w:pStyle w:val="box474667"/>
        <w:shd w:val="clear" w:color="auto" w:fill="FFFFFF"/>
        <w:spacing w:after="48" w:afterAutospacing="0"/>
        <w:ind w:firstLine="408"/>
        <w:textAlignment w:val="baseline"/>
      </w:pPr>
      <w:r>
        <w:rPr>
          <w:color w:val="231F20"/>
        </w:rPr>
        <w:t>(6) Iznimno od stavka 2. ovoga članka, ako upravljačko tijelo ne donese izvještaje o izvršenju iz stavka 2. ovoga članka, prijedlozi izvještaja o izvršenju se u roku od 60 dana od dana podnošenja upravljačkom tijelu objavljuju na mrežnim stranicama proračunskog korisnika, odnosno na mrežnim stranicama nadležnog ministarstva ili drugog tijela na razini razdjela organizacijske klasifikacije ili na mrežnim stranicama jedinice lokalne i područne (regionalne) samouprave ako proračunski korisnik nema svoje mrežne stranice.</w:t>
      </w:r>
    </w:p>
    <w:p w:rsidR="003F1A39" w:rsidRDefault="002C5B1C" w:rsidP="002C5B1C">
      <w:pPr>
        <w:pStyle w:val="box474667"/>
        <w:shd w:val="clear" w:color="auto" w:fill="FFFFFF"/>
        <w:spacing w:after="48" w:afterAutospacing="0"/>
        <w:ind w:firstLine="408"/>
        <w:textAlignment w:val="baseline"/>
      </w:pPr>
      <w:r>
        <w:rPr>
          <w:color w:val="231F20"/>
        </w:rPr>
        <w:t>(7) Izvještaji iz ovoga članka objavljuju se u strojno čitljivom obliku.</w:t>
      </w:r>
    </w:p>
    <w:sectPr w:rsidR="003F1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C"/>
    <w:rsid w:val="002C5B1C"/>
    <w:rsid w:val="009C5BE4"/>
    <w:rsid w:val="00C64C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77D43-BE33-4F38-A6FA-B45D8DDE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1C"/>
    <w:rPr>
      <w:rFonts w:ascii="Calibri" w:hAnsi="Calibri" w:cs="Calibri"/>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4667">
    <w:name w:val="box474667"/>
    <w:basedOn w:val="Normal"/>
    <w:rsid w:val="002C5B1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Company>MPU</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Coner</dc:creator>
  <cp:keywords/>
  <dc:description/>
  <cp:lastModifiedBy>Bernard Coner</cp:lastModifiedBy>
  <cp:revision>1</cp:revision>
  <dcterms:created xsi:type="dcterms:W3CDTF">2024-04-11T08:21:00Z</dcterms:created>
  <dcterms:modified xsi:type="dcterms:W3CDTF">2024-04-11T08:21:00Z</dcterms:modified>
</cp:coreProperties>
</file>