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9E" w:rsidRPr="00E70AD6" w:rsidRDefault="00173B9E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B9E" w:rsidRPr="00E70AD6" w:rsidRDefault="00173B9E" w:rsidP="00173B9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70A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73AF248" wp14:editId="3B6D9411">
            <wp:extent cx="723900" cy="962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E6" w:rsidRPr="00E70AD6" w:rsidRDefault="000D23E6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B9E" w:rsidRPr="00E70AD6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REPUBLIKA HRVATSKA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  <w:t>Broj RKP-a: 4253</w:t>
      </w:r>
    </w:p>
    <w:p w:rsidR="00173B9E" w:rsidRPr="00E70AD6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OPĆINSKI SUD U RIJECI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  <w:t>Matični broj: 03321428</w:t>
      </w:r>
    </w:p>
    <w:p w:rsidR="00173B9E" w:rsidRPr="00E70AD6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Žrtava fašizma 7, 51000 Rijeka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="00FC29EA" w:rsidRPr="00E70AD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70AD6">
        <w:rPr>
          <w:rFonts w:ascii="Times New Roman" w:hAnsi="Times New Roman" w:cs="Times New Roman"/>
          <w:b/>
          <w:sz w:val="24"/>
          <w:szCs w:val="24"/>
        </w:rPr>
        <w:t>OIB: 54566384631</w:t>
      </w:r>
    </w:p>
    <w:p w:rsidR="00173B9E" w:rsidRPr="00E70AD6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Razina: 11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73B9E" w:rsidRPr="00E70AD6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Pr="00E70AD6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173B9E" w:rsidRPr="00E70AD6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73B9E" w:rsidRPr="00E70AD6" w:rsidRDefault="00173B9E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0AD6">
        <w:rPr>
          <w:rFonts w:ascii="Times New Roman" w:hAnsi="Times New Roman" w:cs="Times New Roman"/>
          <w:sz w:val="24"/>
          <w:szCs w:val="24"/>
        </w:rPr>
        <w:t xml:space="preserve">U Rijeci, </w:t>
      </w:r>
      <w:r w:rsidR="00DD2DAC" w:rsidRPr="00E70AD6">
        <w:rPr>
          <w:rFonts w:ascii="Times New Roman" w:hAnsi="Times New Roman" w:cs="Times New Roman"/>
          <w:sz w:val="24"/>
          <w:szCs w:val="24"/>
        </w:rPr>
        <w:t>08. studenog 2024. godine</w:t>
      </w:r>
      <w:r w:rsidR="004C2646" w:rsidRPr="00E70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6BF" w:rsidRPr="00E70AD6" w:rsidRDefault="009D56BF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1BC6" w:rsidRPr="00E70AD6" w:rsidRDefault="00721BC6" w:rsidP="00721BC6">
      <w:pPr>
        <w:pStyle w:val="Standard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center"/>
        <w:rPr>
          <w:rFonts w:ascii="Times New Roman" w:hAnsi="Times New Roman"/>
        </w:rPr>
      </w:pPr>
      <w:r w:rsidRPr="00E70AD6">
        <w:rPr>
          <w:rFonts w:ascii="Times New Roman" w:hAnsi="Times New Roman"/>
        </w:rPr>
        <w:t>OBRAZLOŽENJE OPĆEG DIJELA FINANCIJSKOG PLANA</w:t>
      </w:r>
    </w:p>
    <w:p w:rsidR="00721BC6" w:rsidRPr="00E70AD6" w:rsidRDefault="00721BC6" w:rsidP="00721BC6">
      <w:pPr>
        <w:pStyle w:val="Standard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ab/>
        <w:t>Sukla</w:t>
      </w:r>
      <w:r w:rsidR="002613EF" w:rsidRPr="00E70AD6">
        <w:rPr>
          <w:rFonts w:ascii="Times New Roman" w:hAnsi="Times New Roman"/>
        </w:rPr>
        <w:t>dno čl. 36 Zakona o proračunu (</w:t>
      </w:r>
      <w:r w:rsidRPr="00E70AD6">
        <w:rPr>
          <w:rFonts w:ascii="Times New Roman" w:hAnsi="Times New Roman"/>
        </w:rPr>
        <w:t>Narodne novine br. 144/21) proračunski i izvanproračunski korisnici dužni su uz prijedlog financijskog plana izraditi dostaviti obrazloženje općeg dijela financijskog plana, kojeg dostavljamo u nastavku.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rPr>
          <w:rFonts w:ascii="Times New Roman" w:hAnsi="Times New Roman"/>
        </w:rPr>
      </w:pPr>
      <w:r w:rsidRPr="00E70AD6">
        <w:rPr>
          <w:rFonts w:ascii="Times New Roman" w:hAnsi="Times New Roman"/>
        </w:rPr>
        <w:t>PRIHODI I PRIMICI:</w:t>
      </w:r>
    </w:p>
    <w:p w:rsidR="00721BC6" w:rsidRPr="00E70AD6" w:rsidRDefault="00721BC6" w:rsidP="00721BC6">
      <w:pPr>
        <w:pStyle w:val="Standard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</w:pPr>
      <w:r w:rsidRPr="00E70AD6">
        <w:rPr>
          <w:rFonts w:ascii="Times New Roman" w:hAnsi="Times New Roman"/>
        </w:rPr>
        <w:tab/>
        <w:t>Općinski sud u Rijeci u cijelosti se financira iz nadležnog proračuna Ministarstva pravosuđa</w:t>
      </w:r>
      <w:r w:rsidR="008B733B" w:rsidRPr="00E70AD6">
        <w:rPr>
          <w:rFonts w:ascii="Times New Roman" w:hAnsi="Times New Roman"/>
        </w:rPr>
        <w:t>, uprave i digitalne transformacije</w:t>
      </w:r>
      <w:r w:rsidRPr="00E70AD6">
        <w:rPr>
          <w:rFonts w:ascii="Times New Roman" w:hAnsi="Times New Roman"/>
        </w:rPr>
        <w:t>. U odnosu na 202</w:t>
      </w:r>
      <w:r w:rsidR="008B733B" w:rsidRPr="00E70AD6">
        <w:rPr>
          <w:rFonts w:ascii="Times New Roman" w:hAnsi="Times New Roman"/>
        </w:rPr>
        <w:t>5</w:t>
      </w:r>
      <w:r w:rsidRPr="00E70AD6">
        <w:rPr>
          <w:rFonts w:ascii="Times New Roman" w:hAnsi="Times New Roman"/>
        </w:rPr>
        <w:t>. proračunsku godinu zadani su limiti za izradu financijskog</w:t>
      </w:r>
      <w:r w:rsidR="000D5940" w:rsidRPr="00E70AD6">
        <w:rPr>
          <w:rFonts w:ascii="Times New Roman" w:hAnsi="Times New Roman"/>
        </w:rPr>
        <w:t xml:space="preserve"> plana u iznosu od </w:t>
      </w:r>
      <w:r w:rsidR="008B733B" w:rsidRPr="00E70AD6">
        <w:rPr>
          <w:rFonts w:ascii="Times New Roman" w:hAnsi="Times New Roman"/>
        </w:rPr>
        <w:t>11.438.433,00</w:t>
      </w:r>
      <w:r w:rsidRPr="00E70AD6">
        <w:rPr>
          <w:rFonts w:ascii="Times New Roman" w:hAnsi="Times New Roman"/>
        </w:rPr>
        <w:t xml:space="preserve"> </w:t>
      </w:r>
      <w:r w:rsidR="00897F52" w:rsidRPr="00E70AD6">
        <w:rPr>
          <w:rFonts w:ascii="Times New Roman" w:hAnsi="Times New Roman"/>
        </w:rPr>
        <w:t>€</w:t>
      </w:r>
      <w:r w:rsidRPr="00E70AD6">
        <w:rPr>
          <w:rFonts w:ascii="Times New Roman" w:hAnsi="Times New Roman"/>
        </w:rPr>
        <w:t>, te projekcije sukladno limitima za 202</w:t>
      </w:r>
      <w:r w:rsidR="008B733B" w:rsidRPr="00E70AD6">
        <w:rPr>
          <w:rFonts w:ascii="Times New Roman" w:hAnsi="Times New Roman"/>
        </w:rPr>
        <w:t>6</w:t>
      </w:r>
      <w:r w:rsidRPr="00E70AD6">
        <w:rPr>
          <w:rFonts w:ascii="Times New Roman" w:hAnsi="Times New Roman"/>
        </w:rPr>
        <w:t>.</w:t>
      </w:r>
      <w:r w:rsidR="00AF329C" w:rsidRPr="00E70AD6">
        <w:rPr>
          <w:rFonts w:ascii="Times New Roman" w:hAnsi="Times New Roman"/>
        </w:rPr>
        <w:t xml:space="preserve"> </w:t>
      </w:r>
      <w:r w:rsidRPr="00E70AD6">
        <w:rPr>
          <w:rFonts w:ascii="Times New Roman" w:hAnsi="Times New Roman"/>
        </w:rPr>
        <w:t xml:space="preserve">godinu iznos od </w:t>
      </w:r>
      <w:r w:rsidR="008B733B" w:rsidRPr="00E70AD6">
        <w:rPr>
          <w:rFonts w:ascii="Times New Roman" w:hAnsi="Times New Roman"/>
        </w:rPr>
        <w:t>12.094.700,00</w:t>
      </w:r>
      <w:r w:rsidR="00AF329C" w:rsidRPr="00E70AD6">
        <w:rPr>
          <w:rFonts w:ascii="Times New Roman" w:hAnsi="Times New Roman"/>
        </w:rPr>
        <w:t xml:space="preserve"> </w:t>
      </w:r>
      <w:r w:rsidR="00897F52" w:rsidRPr="00E70AD6">
        <w:rPr>
          <w:rFonts w:ascii="Times New Roman" w:hAnsi="Times New Roman"/>
        </w:rPr>
        <w:t>€</w:t>
      </w:r>
      <w:r w:rsidRPr="00E70AD6">
        <w:rPr>
          <w:rFonts w:ascii="Times New Roman" w:hAnsi="Times New Roman"/>
        </w:rPr>
        <w:t xml:space="preserve"> te za 202</w:t>
      </w:r>
      <w:r w:rsidR="008B733B" w:rsidRPr="00E70AD6">
        <w:rPr>
          <w:rFonts w:ascii="Times New Roman" w:hAnsi="Times New Roman"/>
        </w:rPr>
        <w:t>7</w:t>
      </w:r>
      <w:r w:rsidRPr="00E70AD6">
        <w:rPr>
          <w:rFonts w:ascii="Times New Roman" w:hAnsi="Times New Roman"/>
        </w:rPr>
        <w:t>.</w:t>
      </w:r>
      <w:r w:rsidR="00AF329C" w:rsidRPr="00E70AD6">
        <w:rPr>
          <w:rFonts w:ascii="Times New Roman" w:hAnsi="Times New Roman"/>
        </w:rPr>
        <w:t xml:space="preserve"> </w:t>
      </w:r>
      <w:r w:rsidRPr="00E70AD6">
        <w:rPr>
          <w:rFonts w:ascii="Times New Roman" w:hAnsi="Times New Roman"/>
        </w:rPr>
        <w:t xml:space="preserve">godinu iznos od </w:t>
      </w:r>
      <w:r w:rsidR="008B733B" w:rsidRPr="00E70AD6">
        <w:rPr>
          <w:rFonts w:ascii="Times New Roman" w:hAnsi="Times New Roman"/>
        </w:rPr>
        <w:t>11.688.455,00</w:t>
      </w:r>
      <w:r w:rsidRPr="00E70AD6">
        <w:rPr>
          <w:rFonts w:ascii="Times New Roman" w:hAnsi="Times New Roman"/>
        </w:rPr>
        <w:t xml:space="preserve"> </w:t>
      </w:r>
      <w:r w:rsidR="00897F52" w:rsidRPr="00E70AD6">
        <w:rPr>
          <w:rFonts w:ascii="Times New Roman" w:hAnsi="Times New Roman"/>
        </w:rPr>
        <w:t>€</w:t>
      </w:r>
      <w:r w:rsidRPr="00E70AD6">
        <w:rPr>
          <w:rFonts w:ascii="Times New Roman" w:hAnsi="Times New Roman"/>
        </w:rPr>
        <w:t>.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ab/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ab/>
        <w:t>U skladu s Zakonom o proračunu Općinski sud u Rijeci ostvaruje prihode od usluga kopiranja sudskih akata. Dosadašnja dinamika naplate vlastitih prihoda pokazuje pad u odnosu na prethodne godine, a pretpostavka njihova smanjenja u dijelu pružanja usluga kopiranja sudskih akata proizlazi iz mogućnosti uporabe raznih uređaja za fotografiranje spisa predviđeno čl. 44</w:t>
      </w:r>
      <w:r w:rsidR="005F2FBC" w:rsidRPr="00E70AD6">
        <w:rPr>
          <w:rFonts w:ascii="Times New Roman" w:hAnsi="Times New Roman"/>
        </w:rPr>
        <w:t>.</w:t>
      </w:r>
      <w:r w:rsidRPr="00E70AD6">
        <w:rPr>
          <w:rFonts w:ascii="Times New Roman" w:hAnsi="Times New Roman"/>
        </w:rPr>
        <w:t xml:space="preserve"> Sudskog poslovnika.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</w:pPr>
      <w:r w:rsidRPr="00E70AD6">
        <w:rPr>
          <w:rFonts w:ascii="Calibri" w:hAnsi="Calibri"/>
        </w:rPr>
        <w:tab/>
      </w:r>
      <w:r w:rsidR="005F2FBC" w:rsidRPr="00E70AD6">
        <w:rPr>
          <w:rFonts w:ascii="Times New Roman" w:hAnsi="Times New Roman"/>
        </w:rPr>
        <w:t xml:space="preserve">Područje nadležnosti </w:t>
      </w:r>
      <w:r w:rsidRPr="00E70AD6">
        <w:rPr>
          <w:rFonts w:ascii="Times New Roman" w:hAnsi="Times New Roman"/>
        </w:rPr>
        <w:t xml:space="preserve">Općinskog suda u Rijeci trenutno obuhvaća </w:t>
      </w:r>
      <w:r w:rsidR="00897F52" w:rsidRPr="00E70AD6">
        <w:rPr>
          <w:rFonts w:ascii="Times New Roman" w:hAnsi="Times New Roman"/>
        </w:rPr>
        <w:t>četiri</w:t>
      </w:r>
      <w:r w:rsidRPr="00E70AD6">
        <w:rPr>
          <w:rFonts w:ascii="Times New Roman" w:hAnsi="Times New Roman"/>
        </w:rPr>
        <w:t xml:space="preserve"> </w:t>
      </w:r>
      <w:r w:rsidR="00897F52" w:rsidRPr="00E70AD6">
        <w:rPr>
          <w:rFonts w:ascii="Times New Roman" w:hAnsi="Times New Roman"/>
        </w:rPr>
        <w:t>katastarske općine osnovane</w:t>
      </w:r>
      <w:r w:rsidRPr="00E70AD6">
        <w:rPr>
          <w:rFonts w:ascii="Times New Roman" w:hAnsi="Times New Roman"/>
        </w:rPr>
        <w:t xml:space="preserve"> radi obavljanja poslova na  obnovi </w:t>
      </w:r>
      <w:r w:rsidR="00EA7294" w:rsidRPr="00E70AD6">
        <w:rPr>
          <w:rFonts w:ascii="Times New Roman" w:hAnsi="Times New Roman"/>
        </w:rPr>
        <w:t>zemljišnih</w:t>
      </w:r>
      <w:r w:rsidRPr="00E70AD6">
        <w:rPr>
          <w:rFonts w:ascii="Times New Roman" w:hAnsi="Times New Roman"/>
        </w:rPr>
        <w:t xml:space="preserve"> knjiga. ( k.o. Suša</w:t>
      </w:r>
      <w:r w:rsidR="004C2646" w:rsidRPr="00E70AD6">
        <w:rPr>
          <w:rFonts w:ascii="Times New Roman" w:hAnsi="Times New Roman"/>
        </w:rPr>
        <w:t xml:space="preserve">k-nova, </w:t>
      </w:r>
      <w:r w:rsidRPr="00E70AD6">
        <w:rPr>
          <w:rFonts w:ascii="Times New Roman" w:hAnsi="Times New Roman"/>
        </w:rPr>
        <w:t xml:space="preserve">k.o. </w:t>
      </w:r>
      <w:proofErr w:type="spellStart"/>
      <w:r w:rsidR="004C2646" w:rsidRPr="00E70AD6">
        <w:rPr>
          <w:rFonts w:ascii="Times New Roman" w:hAnsi="Times New Roman"/>
        </w:rPr>
        <w:t>Škalnica</w:t>
      </w:r>
      <w:proofErr w:type="spellEnd"/>
      <w:r w:rsidRPr="00E70AD6">
        <w:rPr>
          <w:rFonts w:ascii="Times New Roman" w:hAnsi="Times New Roman"/>
        </w:rPr>
        <w:t xml:space="preserve">, k.o. </w:t>
      </w:r>
      <w:r w:rsidR="008840D3" w:rsidRPr="00E70AD6">
        <w:rPr>
          <w:rFonts w:ascii="Times New Roman" w:hAnsi="Times New Roman"/>
        </w:rPr>
        <w:t>Marinići</w:t>
      </w:r>
      <w:r w:rsidRPr="00E70AD6">
        <w:rPr>
          <w:rFonts w:ascii="Times New Roman" w:hAnsi="Times New Roman"/>
        </w:rPr>
        <w:t xml:space="preserve"> te k.o. Volosko). Za sve navedene katastarske općine </w:t>
      </w:r>
      <w:r w:rsidR="00EA7294" w:rsidRPr="00E70AD6">
        <w:rPr>
          <w:rFonts w:ascii="Times New Roman" w:hAnsi="Times New Roman"/>
        </w:rPr>
        <w:t>sklopljeni</w:t>
      </w:r>
      <w:r w:rsidRPr="00E70AD6">
        <w:rPr>
          <w:rFonts w:ascii="Times New Roman" w:hAnsi="Times New Roman"/>
        </w:rPr>
        <w:t xml:space="preserve"> su Sporazumi o sufinanciranju poslova obnove zemljišnih knjiga između Ministarstva pravosu</w:t>
      </w:r>
      <w:r w:rsidR="00D809F8" w:rsidRPr="00E70AD6">
        <w:rPr>
          <w:rFonts w:ascii="Times New Roman" w:hAnsi="Times New Roman"/>
        </w:rPr>
        <w:t>đa, Općinskog suda u Rijeci  s</w:t>
      </w:r>
      <w:r w:rsidRPr="00E70AD6">
        <w:rPr>
          <w:rFonts w:ascii="Times New Roman" w:hAnsi="Times New Roman"/>
        </w:rPr>
        <w:t xml:space="preserve"> </w:t>
      </w:r>
      <w:r w:rsidR="008840D3" w:rsidRPr="00E70AD6">
        <w:rPr>
          <w:rFonts w:ascii="Times New Roman" w:hAnsi="Times New Roman"/>
        </w:rPr>
        <w:t>Gradom Rijeka,</w:t>
      </w:r>
      <w:r w:rsidR="00AE6E17">
        <w:rPr>
          <w:rFonts w:ascii="Times New Roman" w:hAnsi="Times New Roman"/>
        </w:rPr>
        <w:t xml:space="preserve"> Općinom Klana, </w:t>
      </w:r>
      <w:r w:rsidR="008840D3" w:rsidRPr="00E70AD6">
        <w:rPr>
          <w:rFonts w:ascii="Times New Roman" w:hAnsi="Times New Roman"/>
        </w:rPr>
        <w:t xml:space="preserve"> Općinom </w:t>
      </w:r>
      <w:proofErr w:type="spellStart"/>
      <w:r w:rsidR="008840D3" w:rsidRPr="00E70AD6">
        <w:rPr>
          <w:rFonts w:ascii="Times New Roman" w:hAnsi="Times New Roman"/>
        </w:rPr>
        <w:t>Viškovo</w:t>
      </w:r>
      <w:proofErr w:type="spellEnd"/>
      <w:r w:rsidR="00AE6E17">
        <w:rPr>
          <w:rFonts w:ascii="Times New Roman" w:hAnsi="Times New Roman"/>
        </w:rPr>
        <w:t>,</w:t>
      </w:r>
      <w:r w:rsidR="008840D3" w:rsidRPr="00E70AD6">
        <w:rPr>
          <w:rFonts w:ascii="Times New Roman" w:hAnsi="Times New Roman"/>
        </w:rPr>
        <w:t xml:space="preserve"> te </w:t>
      </w:r>
      <w:r w:rsidR="00AE6E17" w:rsidRPr="00E70AD6">
        <w:rPr>
          <w:rFonts w:ascii="Times New Roman" w:hAnsi="Times New Roman"/>
        </w:rPr>
        <w:t xml:space="preserve">Gradom </w:t>
      </w:r>
      <w:r w:rsidR="008840D3" w:rsidRPr="00E70AD6">
        <w:rPr>
          <w:rFonts w:ascii="Times New Roman" w:hAnsi="Times New Roman"/>
        </w:rPr>
        <w:t>Opatija.</w:t>
      </w:r>
      <w:r w:rsidRPr="00E70AD6">
        <w:rPr>
          <w:rFonts w:ascii="Times New Roman" w:hAnsi="Times New Roman"/>
        </w:rPr>
        <w:t xml:space="preserve"> Novčana sredstva sukladno Sporazumima osigurana su za financiranje materijalnih troškova ( poštanske usluge,  korištenje uredskog materijala), te za novčane naknade članovima zemljišnoknjižnih povjerenstva u provedbi postupaka obnove zemljišne knjige. Također je u pripremi pokretanje postupaka obnove </w:t>
      </w:r>
      <w:r w:rsidR="00EA7294" w:rsidRPr="00E70AD6">
        <w:rPr>
          <w:rFonts w:ascii="Times New Roman" w:hAnsi="Times New Roman"/>
        </w:rPr>
        <w:t>zemljišnih</w:t>
      </w:r>
      <w:r w:rsidRPr="00E70AD6">
        <w:rPr>
          <w:rFonts w:ascii="Times New Roman" w:hAnsi="Times New Roman"/>
        </w:rPr>
        <w:t xml:space="preserve"> knjiga za k.o. Breza - nova, Draga</w:t>
      </w:r>
      <w:r w:rsidR="00D56ACE">
        <w:rPr>
          <w:rFonts w:ascii="Times New Roman" w:hAnsi="Times New Roman"/>
        </w:rPr>
        <w:t>, Dražice -nova, Lisac - nova,</w:t>
      </w:r>
      <w:r w:rsidRPr="00E70AD6">
        <w:rPr>
          <w:rFonts w:ascii="Times New Roman" w:hAnsi="Times New Roman"/>
        </w:rPr>
        <w:t xml:space="preserve"> </w:t>
      </w:r>
      <w:proofErr w:type="spellStart"/>
      <w:r w:rsidRPr="00E70AD6">
        <w:rPr>
          <w:rFonts w:ascii="Times New Roman" w:hAnsi="Times New Roman"/>
        </w:rPr>
        <w:t>Podhum</w:t>
      </w:r>
      <w:proofErr w:type="spellEnd"/>
      <w:r w:rsidRPr="00E70AD6">
        <w:rPr>
          <w:rFonts w:ascii="Times New Roman" w:hAnsi="Times New Roman"/>
        </w:rPr>
        <w:t xml:space="preserve"> -</w:t>
      </w:r>
      <w:r w:rsidR="005F2FBC" w:rsidRPr="00E70AD6">
        <w:rPr>
          <w:rFonts w:ascii="Times New Roman" w:hAnsi="Times New Roman"/>
        </w:rPr>
        <w:t xml:space="preserve"> </w:t>
      </w:r>
      <w:r w:rsidRPr="00E70AD6">
        <w:rPr>
          <w:rFonts w:ascii="Times New Roman" w:hAnsi="Times New Roman"/>
        </w:rPr>
        <w:t xml:space="preserve">nova, </w:t>
      </w:r>
      <w:proofErr w:type="spellStart"/>
      <w:r w:rsidRPr="00E70AD6">
        <w:rPr>
          <w:rFonts w:ascii="Times New Roman" w:hAnsi="Times New Roman"/>
        </w:rPr>
        <w:t>Rečina</w:t>
      </w:r>
      <w:proofErr w:type="spellEnd"/>
      <w:r w:rsidRPr="00E70AD6">
        <w:rPr>
          <w:rFonts w:ascii="Times New Roman" w:hAnsi="Times New Roman"/>
        </w:rPr>
        <w:t xml:space="preserve">, Stari grad te Sveti </w:t>
      </w:r>
      <w:proofErr w:type="spellStart"/>
      <w:r w:rsidRPr="00E70AD6">
        <w:rPr>
          <w:rFonts w:ascii="Times New Roman" w:hAnsi="Times New Roman"/>
        </w:rPr>
        <w:t>Kuzam</w:t>
      </w:r>
      <w:proofErr w:type="spellEnd"/>
      <w:r w:rsidRPr="00E70AD6">
        <w:rPr>
          <w:rFonts w:ascii="Times New Roman" w:hAnsi="Times New Roman"/>
        </w:rPr>
        <w:t xml:space="preserve"> i drugih prema Detaljnom planu Vlade za 2022. i 2023. godinu.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lastRenderedPageBreak/>
        <w:t xml:space="preserve"> 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ab/>
        <w:t>RASHODI I IZDACI: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0A7F01" w:rsidRPr="00E70AD6" w:rsidRDefault="00721BC6" w:rsidP="000A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0AD6">
        <w:rPr>
          <w:rFonts w:ascii="Times New Roman" w:hAnsi="Times New Roman"/>
          <w:sz w:val="24"/>
          <w:szCs w:val="24"/>
        </w:rPr>
        <w:t>Prijedlog plana proračuna za 202</w:t>
      </w:r>
      <w:r w:rsidR="008840D3" w:rsidRPr="00E70AD6">
        <w:rPr>
          <w:rFonts w:ascii="Times New Roman" w:hAnsi="Times New Roman"/>
          <w:sz w:val="24"/>
          <w:szCs w:val="24"/>
        </w:rPr>
        <w:t>5</w:t>
      </w:r>
      <w:r w:rsidRPr="00E70AD6">
        <w:rPr>
          <w:rFonts w:ascii="Times New Roman" w:hAnsi="Times New Roman"/>
          <w:sz w:val="24"/>
          <w:szCs w:val="24"/>
        </w:rPr>
        <w:t>-202</w:t>
      </w:r>
      <w:r w:rsidR="008840D3" w:rsidRPr="00E70AD6">
        <w:rPr>
          <w:rFonts w:ascii="Times New Roman" w:hAnsi="Times New Roman"/>
          <w:sz w:val="24"/>
          <w:szCs w:val="24"/>
        </w:rPr>
        <w:t>7</w:t>
      </w:r>
      <w:r w:rsidRPr="00E70AD6">
        <w:rPr>
          <w:rFonts w:ascii="Times New Roman" w:hAnsi="Times New Roman"/>
          <w:sz w:val="24"/>
          <w:szCs w:val="24"/>
        </w:rPr>
        <w:t>.g. napravljen je sukladno Uputi Ministarstva pravosuđa</w:t>
      </w:r>
      <w:r w:rsidR="008840D3" w:rsidRPr="00E70AD6">
        <w:rPr>
          <w:rFonts w:ascii="Times New Roman" w:hAnsi="Times New Roman"/>
          <w:sz w:val="24"/>
          <w:szCs w:val="24"/>
        </w:rPr>
        <w:t>, uprave i digitalne transformacije</w:t>
      </w:r>
      <w:r w:rsidRPr="00E70AD6">
        <w:rPr>
          <w:rFonts w:ascii="Times New Roman" w:hAnsi="Times New Roman"/>
          <w:sz w:val="24"/>
          <w:szCs w:val="24"/>
        </w:rPr>
        <w:t xml:space="preserve"> obzirom na naputak da se pridržavamo </w:t>
      </w:r>
      <w:r w:rsidR="00D809F8" w:rsidRPr="00E70AD6">
        <w:rPr>
          <w:rFonts w:ascii="Times New Roman" w:hAnsi="Times New Roman"/>
          <w:sz w:val="24"/>
          <w:szCs w:val="24"/>
        </w:rPr>
        <w:t>limita dostavljenih od strane nadležnog ministarstva</w:t>
      </w:r>
      <w:r w:rsidR="006B295D">
        <w:rPr>
          <w:rFonts w:ascii="Times New Roman" w:hAnsi="Times New Roman"/>
          <w:sz w:val="24"/>
          <w:szCs w:val="24"/>
        </w:rPr>
        <w:t>,</w:t>
      </w:r>
      <w:r w:rsidR="00597821" w:rsidRPr="00E70AD6">
        <w:rPr>
          <w:rFonts w:ascii="Times New Roman" w:hAnsi="Times New Roman"/>
          <w:sz w:val="24"/>
          <w:szCs w:val="24"/>
        </w:rPr>
        <w:t xml:space="preserve"> </w:t>
      </w:r>
      <w:r w:rsidRPr="00E70AD6">
        <w:rPr>
          <w:rFonts w:ascii="Times New Roman" w:hAnsi="Times New Roman"/>
          <w:sz w:val="24"/>
          <w:szCs w:val="24"/>
        </w:rPr>
        <w:t xml:space="preserve">iako je iz istih ograničenja već sada razvidno da će zadani limiti za </w:t>
      </w:r>
      <w:r w:rsidR="008840D3" w:rsidRPr="00E70AD6">
        <w:rPr>
          <w:rFonts w:ascii="Times New Roman" w:hAnsi="Times New Roman"/>
          <w:sz w:val="24"/>
          <w:szCs w:val="24"/>
        </w:rPr>
        <w:t>dio</w:t>
      </w:r>
      <w:r w:rsidR="00D809F8" w:rsidRPr="00E70AD6">
        <w:rPr>
          <w:rFonts w:ascii="Times New Roman" w:hAnsi="Times New Roman"/>
          <w:sz w:val="24"/>
          <w:szCs w:val="24"/>
        </w:rPr>
        <w:t xml:space="preserve"> rashoda</w:t>
      </w:r>
      <w:r w:rsidRPr="00E70AD6">
        <w:rPr>
          <w:rFonts w:ascii="Times New Roman" w:hAnsi="Times New Roman"/>
          <w:sz w:val="24"/>
          <w:szCs w:val="24"/>
        </w:rPr>
        <w:t xml:space="preserve"> biti nedostatni.</w:t>
      </w:r>
      <w:r w:rsidR="000A7F01" w:rsidRPr="00E70AD6">
        <w:rPr>
          <w:rFonts w:ascii="Times New Roman" w:hAnsi="Times New Roman"/>
          <w:sz w:val="24"/>
          <w:szCs w:val="24"/>
        </w:rPr>
        <w:t xml:space="preserve"> U nastavku</w:t>
      </w:r>
      <w:r w:rsidR="000A7F0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obrazlažemo pozicije za koje će novčana sredstva biti nedovoljna. 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BA700F" w:rsidRPr="00E70AD6" w:rsidRDefault="00BA700F" w:rsidP="00721BC6">
      <w:pPr>
        <w:pStyle w:val="Standard"/>
        <w:jc w:val="both"/>
        <w:rPr>
          <w:rFonts w:ascii="Times New Roman" w:hAnsi="Times New Roman"/>
        </w:rPr>
      </w:pPr>
    </w:p>
    <w:p w:rsidR="00BA700F" w:rsidRPr="00E70AD6" w:rsidRDefault="00E4034A" w:rsidP="00721BC6">
      <w:pPr>
        <w:pStyle w:val="Standard"/>
        <w:jc w:val="both"/>
        <w:rPr>
          <w:rFonts w:ascii="Times New Roman" w:hAnsi="Times New Roman"/>
          <w:u w:val="single"/>
        </w:rPr>
      </w:pPr>
      <w:r w:rsidRPr="00E70AD6">
        <w:rPr>
          <w:rFonts w:ascii="Times New Roman" w:hAnsi="Times New Roman"/>
          <w:u w:val="single"/>
        </w:rPr>
        <w:t>Rashodi za zaposlene</w:t>
      </w:r>
      <w:r w:rsidR="00BA700F" w:rsidRPr="00E70AD6">
        <w:rPr>
          <w:rFonts w:ascii="Times New Roman" w:hAnsi="Times New Roman"/>
          <w:u w:val="single"/>
        </w:rPr>
        <w:t xml:space="preserve">: </w:t>
      </w:r>
    </w:p>
    <w:p w:rsidR="00BA700F" w:rsidRPr="00E70AD6" w:rsidRDefault="00BA700F" w:rsidP="00721BC6">
      <w:pPr>
        <w:pStyle w:val="Standard"/>
        <w:jc w:val="both"/>
        <w:rPr>
          <w:rFonts w:ascii="Times New Roman" w:hAnsi="Times New Roman"/>
        </w:rPr>
      </w:pPr>
    </w:p>
    <w:p w:rsidR="00743DE9" w:rsidRDefault="00E4034A" w:rsidP="000A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0AD6">
        <w:rPr>
          <w:rFonts w:ascii="Times New Roman" w:hAnsi="Times New Roman"/>
          <w:b/>
          <w:sz w:val="24"/>
          <w:szCs w:val="24"/>
          <w:u w:val="single"/>
        </w:rPr>
        <w:t>Plaće za redovan rad</w:t>
      </w:r>
      <w:r w:rsidR="000A7F01" w:rsidRPr="00E70AD6">
        <w:rPr>
          <w:rFonts w:ascii="Times New Roman" w:hAnsi="Times New Roman"/>
          <w:b/>
          <w:sz w:val="24"/>
          <w:szCs w:val="24"/>
        </w:rPr>
        <w:t xml:space="preserve"> </w:t>
      </w:r>
      <w:r w:rsidRPr="00E70AD6">
        <w:rPr>
          <w:rFonts w:ascii="Times New Roman" w:hAnsi="Times New Roman"/>
          <w:b/>
          <w:sz w:val="24"/>
          <w:szCs w:val="24"/>
        </w:rPr>
        <w:t xml:space="preserve"> </w:t>
      </w:r>
      <w:r w:rsidR="000A7F0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izrade financijskog plana za 2025. godinu te projekcijama za 2026. i 2027. godinu</w:t>
      </w:r>
      <w:r w:rsidR="00082A5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utvrđeno je da će na poziciji plaća za redovan rad biti nedostatn</w:t>
      </w:r>
      <w:r w:rsidR="006B29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 sredstava</w:t>
      </w:r>
      <w:r w:rsidR="00082A5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Naime, uvidom u financijska knjiženja te sintetiku rekapitulacija plaća utvrđeno je da je za mjesečni utrošak 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bruto plaće za mjesec rujan 2024. godine</w:t>
      </w:r>
      <w:r w:rsidR="00082A5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4493E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bilo </w:t>
      </w:r>
      <w:r w:rsidR="00082A5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potrebno izdvojiti cca. 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592.</w:t>
      </w:r>
      <w:r w:rsidR="007971B9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919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7971B9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</w:t>
      </w:r>
      <w:r w:rsidR="002759F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Umnoškom potrebitih sredstava i brojem mjeseci potrebnih za 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jednogodišnje</w:t>
      </w:r>
      <w:r w:rsidR="002759F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razdoblje isplate plać</w:t>
      </w:r>
      <w:r w:rsidR="00FB4D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2759F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dolazi se do </w:t>
      </w:r>
      <w:r w:rsidR="00FB4D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zaključka</w:t>
      </w:r>
      <w:r w:rsidR="002759F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je za isto potrebno cca. 7.</w:t>
      </w:r>
      <w:r w:rsidR="007971B9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115.038,20</w:t>
      </w:r>
      <w:r w:rsidR="002759F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a koji iznos je veći za </w:t>
      </w:r>
      <w:r w:rsidR="007971B9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509.708,20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od </w:t>
      </w:r>
      <w:r w:rsidR="003C4A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odobrenog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971B9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limita za plaće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971B9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redovan </w:t>
      </w:r>
      <w:r w:rsidR="007971B9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 u iznosu od 6.605.330,00</w:t>
      </w:r>
      <w:r w:rsidR="00E776C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C4A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€ za 2025 godinu.</w:t>
      </w:r>
      <w:r w:rsidR="0044493E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759F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2A51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743DE9" w:rsidRDefault="00743DE9" w:rsidP="000A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7F01" w:rsidRPr="00E70AD6" w:rsidRDefault="00743DE9" w:rsidP="000A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Nadalje, u 2024. godini a temeljem dobivenih suglasnosti planirano je zapošljavanje 2 administrativna referenta – sudska zapisničara, 1 administrativnog referenta – zapisničara ( vježbenika), 1 administrativnog referenta – sudskog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upisničara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2 sudska dostavljača, 2 spremačice, te 1 sudskog savjetnika. Procjena troškova plaća za iste iznosi </w:t>
      </w:r>
      <w:r w:rsidR="006562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118.844,64 €.</w:t>
      </w:r>
      <w:r w:rsidR="000406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0A7F01" w:rsidRPr="00E70AD6" w:rsidRDefault="000A7F01" w:rsidP="0044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8117A" w:rsidRPr="00E70AD6" w:rsidRDefault="000A7F01" w:rsidP="000A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Povrh toga,</w:t>
      </w:r>
      <w:r w:rsidR="00252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2025. godini</w:t>
      </w:r>
      <w:r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planirana su zapošljavanja i to: 5 dužnosnika/ sudaca, </w:t>
      </w:r>
      <w:r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8117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 informatička referenta, 5 administrativnih referenata – sudskih zapisničara, 1 administrativnog tajnika, 1 referenta, 1 </w:t>
      </w:r>
      <w:proofErr w:type="spellStart"/>
      <w:r w:rsidR="00C8117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upisničara</w:t>
      </w:r>
      <w:proofErr w:type="spellEnd"/>
      <w:r w:rsidR="00C8117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2 namještenika </w:t>
      </w:r>
      <w:r w:rsidR="00252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C8117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domara)</w:t>
      </w:r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1 spremačice. Ujedno </w:t>
      </w:r>
      <w:r w:rsidR="00FB4D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jedan</w:t>
      </w:r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namještenik III vrste će se rasporediti na mjesto voditelja odjela, </w:t>
      </w:r>
      <w:r w:rsidR="00FB4D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također </w:t>
      </w:r>
      <w:r w:rsidR="00FB4D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planirano da će dva</w:t>
      </w:r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ovlaštena </w:t>
      </w:r>
      <w:proofErr w:type="spellStart"/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zk</w:t>
      </w:r>
      <w:proofErr w:type="spellEnd"/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referenta II vrste napredovanjem </w:t>
      </w:r>
      <w:r w:rsidR="00FB4D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preći</w:t>
      </w:r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 vrstu. </w:t>
      </w:r>
      <w:r w:rsidR="00186E2D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Obračun plaća za iste predviđen je za razdoblje od 8 mjeseci za službenike i namještenike, dok je obračun plaća za dužnosnike / suce predviđen za razdoblje od 10 mjeseci.  </w:t>
      </w:r>
      <w:r w:rsidR="00CC60B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navedenom procjena plaća za redovan rad za </w:t>
      </w:r>
      <w:r w:rsidR="0082614D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novozaposlene</w:t>
      </w:r>
      <w:r w:rsidR="00CC60B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iznosila bi cca</w:t>
      </w:r>
      <w:r w:rsidR="00FB4D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C60BA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287.595,92 €</w:t>
      </w:r>
      <w:r w:rsidR="0082614D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261F27" w:rsidRPr="00E70AD6" w:rsidRDefault="00261F27" w:rsidP="000A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61F27" w:rsidRPr="00E70AD6" w:rsidRDefault="0082614D" w:rsidP="000A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Napominjemo da procjena</w:t>
      </w:r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navedenih </w:t>
      </w:r>
      <w:proofErr w:type="spellStart"/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novozapošljavanja</w:t>
      </w:r>
      <w:proofErr w:type="spellEnd"/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nije uvrštena u financijski plan </w:t>
      </w:r>
      <w:r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2025. godinu</w:t>
      </w:r>
      <w:r w:rsidR="00261F27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sve obzirom na postavljene limite</w:t>
      </w:r>
      <w:r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ministarstva</w:t>
      </w:r>
      <w:r w:rsidR="00433DB5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ali je potreba za zapošljavanjem itekako potrebna. </w:t>
      </w:r>
    </w:p>
    <w:p w:rsidR="00D91497" w:rsidRPr="00E70AD6" w:rsidRDefault="00D91497" w:rsidP="000A7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E423B" w:rsidRDefault="00D91497" w:rsidP="00E44407">
      <w:pPr>
        <w:pStyle w:val="Bezproreda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A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Plaće za prekovremeni rad </w:t>
      </w:r>
      <w:r w:rsidRPr="00E70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prilikom izrade financijskog plana za 2025. godinu te projekcijama za 2026. i 2027. godinu u prekovremeni rad ukalkulirani su </w:t>
      </w:r>
      <w:r w:rsidR="0004421B" w:rsidRPr="00E70A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utrošci koji se odnose na naknade </w:t>
      </w:r>
      <w:r w:rsidR="0004421B" w:rsidRPr="00E70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</w:t>
      </w:r>
      <w:r w:rsidR="0004421B" w:rsidRPr="00E70AD6">
        <w:rPr>
          <w:rFonts w:ascii="Times New Roman" w:hAnsi="Times New Roman" w:cs="Times New Roman"/>
          <w:sz w:val="24"/>
          <w:szCs w:val="24"/>
          <w:shd w:val="clear" w:color="auto" w:fill="FFFFFF"/>
        </w:rPr>
        <w:t>Pravilniku o naknadama za dežurstva sudaca, državnih odvjetnika i zamjenika državnih odvjetnika ("Narodne novine" br. 64/19., 106/23.) u kojima kazneni suci</w:t>
      </w:r>
      <w:r w:rsidR="004E423B">
        <w:rPr>
          <w:rFonts w:ascii="Times New Roman" w:hAnsi="Times New Roman" w:cs="Times New Roman"/>
          <w:sz w:val="24"/>
          <w:szCs w:val="24"/>
          <w:shd w:val="clear" w:color="auto" w:fill="FFFFFF"/>
        </w:rPr>
        <w:t>, te službenici</w:t>
      </w:r>
      <w:r w:rsidR="0004421B" w:rsidRPr="00E7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ostvaruju pravo na naknadu za dane aktivnog i pasivnog dežurstva </w:t>
      </w:r>
      <w:r w:rsidR="004E423B">
        <w:rPr>
          <w:rFonts w:ascii="Times New Roman" w:hAnsi="Times New Roman" w:cs="Times New Roman"/>
          <w:sz w:val="24"/>
          <w:szCs w:val="24"/>
          <w:shd w:val="clear" w:color="auto" w:fill="FFFFFF"/>
        </w:rPr>
        <w:t>a projekcija kojih troškova za 2025. godinu iznosi cca.</w:t>
      </w:r>
      <w:r w:rsidR="0004421B" w:rsidRPr="00E7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AD6" w:rsidRPr="00E70AD6">
        <w:rPr>
          <w:rFonts w:ascii="Times New Roman" w:hAnsi="Times New Roman" w:cs="Times New Roman"/>
          <w:sz w:val="24"/>
          <w:szCs w:val="24"/>
          <w:shd w:val="clear" w:color="auto" w:fill="FFFFFF"/>
        </w:rPr>
        <w:t>44.760,00 €</w:t>
      </w:r>
      <w:r w:rsidR="004E423B">
        <w:rPr>
          <w:rFonts w:ascii="Times New Roman" w:hAnsi="Times New Roman" w:cs="Times New Roman"/>
          <w:sz w:val="24"/>
          <w:szCs w:val="24"/>
          <w:shd w:val="clear" w:color="auto" w:fill="FFFFFF"/>
        </w:rPr>
        <w:t>. Također je predviđen</w:t>
      </w:r>
      <w:r w:rsidR="0025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4E4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AD6" w:rsidRPr="00E70AD6">
        <w:rPr>
          <w:rFonts w:ascii="Times New Roman" w:hAnsi="Times New Roman" w:cs="Times New Roman"/>
          <w:sz w:val="24"/>
          <w:szCs w:val="24"/>
          <w:shd w:val="clear" w:color="auto" w:fill="FFFFFF"/>
        </w:rPr>
        <w:t>prekovremeni rad za provedbu aktivnosti sređivanja i digitalizacije arhivske građe na sudovima u sklopu inicijative NPOO C2.2.</w:t>
      </w:r>
      <w:r w:rsidR="004E4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za što je planirano cca. 12.960,00  €.</w:t>
      </w:r>
    </w:p>
    <w:p w:rsidR="000B6229" w:rsidRDefault="000B6229" w:rsidP="00E44407">
      <w:pPr>
        <w:pStyle w:val="Bezproreda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229" w:rsidRDefault="000B6229" w:rsidP="00E44407">
      <w:pPr>
        <w:pStyle w:val="Bezproreda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Financijskim planom za 2025. godinu</w:t>
      </w:r>
      <w:r w:rsidR="00855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sukladno limitima  Ministarstva financija nismo bili u mogućnosti planirati novčana sredstva za prekovremeni rad na drugim poslovima.</w:t>
      </w:r>
      <w:r w:rsidR="004E4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Administrativni</w:t>
      </w:r>
      <w:r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poslovi na spisima ( otprema poziva, pisanje kratkih dopisa, rješenja o naplati pristojbe i slično) te rad kroz aplikaciju </w:t>
      </w:r>
      <w:proofErr w:type="spellStart"/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eSpisa</w:t>
      </w:r>
      <w:proofErr w:type="spellEnd"/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eKomunikacije</w:t>
      </w:r>
      <w:proofErr w:type="spellEnd"/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ePošte</w:t>
      </w:r>
      <w:proofErr w:type="spellEnd"/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sada su se uspješno obavljali u prekovremenom radu. Stoga će biti potrebe za odobravanjem prekovremenog rada administrativnih referenata sudskih zapisničara i administrativnih referenata - sudskih </w:t>
      </w:r>
      <w:proofErr w:type="spellStart"/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upisničara</w:t>
      </w:r>
      <w:proofErr w:type="spellEnd"/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Također veliki problem predstavljaju i poslovi izlučivanja arhive gdje će isto biti potrebe za odobravanjem prekovremenog rada kako ne bi došlo do zastoja u redovnom poslovanju</w:t>
      </w:r>
      <w:r w:rsidR="00252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ponajviše stoga što je  Općinski sud u Rijeci dobio na korištenje novi prostor arhive na adresi Stube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 4, te će biti potrebe za preseljenjem velikog broja arhivskog sadržaja. </w:t>
      </w:r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Potreba za prekovremenim radom predstoji i na Zemljišno - knjižnom odjelu Općinskog suda u Rijeci, a sve obzirom na</w:t>
      </w:r>
      <w:r w:rsidR="003213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potrebu izlučivanja</w:t>
      </w:r>
      <w:bookmarkStart w:id="0" w:name="_GoBack"/>
      <w:bookmarkEnd w:id="0"/>
      <w:r w:rsidR="00977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arhivske građe</w:t>
      </w:r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Kako bi se pravodobno izvodili poslovi na postupcima osnivanja i obnove zemljišnih knjiga koj</w:t>
      </w:r>
      <w:r w:rsidR="00977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su u tijeku i koji predstoje, </w:t>
      </w:r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očekivati je da će iz svega prethodno navedenog biti potrebno odobriti  prekovremeni rad i za zemljišno - knjižni odjel. Za isto </w:t>
      </w:r>
      <w:r w:rsidR="00E44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 bilo potrebno dodatnih  cca. </w:t>
      </w:r>
      <w:r w:rsidR="00E70AD6" w:rsidRPr="0044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200.000,00 €</w:t>
      </w:r>
      <w:r w:rsidR="00E44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B6229" w:rsidRDefault="000B6229" w:rsidP="00E44407">
      <w:pPr>
        <w:pStyle w:val="Bezproreda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4407" w:rsidRDefault="00E44407" w:rsidP="00E4440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F647A6" w:rsidRDefault="00E44407" w:rsidP="00E4440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44407">
        <w:rPr>
          <w:rFonts w:ascii="Times New Roman" w:hAnsi="Times New Roman" w:cs="Times New Roman"/>
          <w:b/>
          <w:sz w:val="24"/>
          <w:szCs w:val="24"/>
          <w:u w:val="single"/>
        </w:rPr>
        <w:t>Doprinosi za obvezno zdravstveno osiguranje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407">
        <w:rPr>
          <w:rFonts w:ascii="Times New Roman" w:hAnsi="Times New Roman" w:cs="Times New Roman"/>
          <w:sz w:val="24"/>
          <w:szCs w:val="24"/>
        </w:rPr>
        <w:t>su planirani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7A6">
        <w:rPr>
          <w:rFonts w:ascii="Times New Roman" w:hAnsi="Times New Roman" w:cs="Times New Roman"/>
          <w:sz w:val="24"/>
          <w:szCs w:val="24"/>
        </w:rPr>
        <w:t xml:space="preserve">sukladno limitima, iako će za iste nedostajati dodatnih </w:t>
      </w:r>
      <w:r w:rsidR="00656208">
        <w:rPr>
          <w:rFonts w:ascii="Times New Roman" w:hAnsi="Times New Roman" w:cs="Times New Roman"/>
          <w:sz w:val="24"/>
          <w:szCs w:val="24"/>
        </w:rPr>
        <w:t>67.062,70</w:t>
      </w:r>
      <w:r w:rsidR="00F647A6">
        <w:rPr>
          <w:rFonts w:ascii="Times New Roman" w:hAnsi="Times New Roman" w:cs="Times New Roman"/>
          <w:sz w:val="24"/>
          <w:szCs w:val="24"/>
        </w:rPr>
        <w:t xml:space="preserve"> € što je procjena</w:t>
      </w:r>
      <w:r w:rsidR="00611102">
        <w:rPr>
          <w:rFonts w:ascii="Times New Roman" w:hAnsi="Times New Roman" w:cs="Times New Roman"/>
          <w:sz w:val="24"/>
          <w:szCs w:val="24"/>
        </w:rPr>
        <w:t xml:space="preserve"> utroška</w:t>
      </w:r>
      <w:r w:rsidR="00F647A6">
        <w:rPr>
          <w:rFonts w:ascii="Times New Roman" w:hAnsi="Times New Roman" w:cs="Times New Roman"/>
          <w:sz w:val="24"/>
          <w:szCs w:val="24"/>
        </w:rPr>
        <w:t xml:space="preserve"> </w:t>
      </w:r>
      <w:r w:rsidR="00855AFC">
        <w:rPr>
          <w:rFonts w:ascii="Times New Roman" w:hAnsi="Times New Roman" w:cs="Times New Roman"/>
          <w:sz w:val="24"/>
          <w:szCs w:val="24"/>
        </w:rPr>
        <w:t>za zapošljavanje novih sudaca, službenika i dr.</w:t>
      </w:r>
      <w:r w:rsidR="00F647A6">
        <w:rPr>
          <w:rFonts w:ascii="Times New Roman" w:hAnsi="Times New Roman" w:cs="Times New Roman"/>
          <w:sz w:val="24"/>
          <w:szCs w:val="24"/>
        </w:rPr>
        <w:t xml:space="preserve"> </w:t>
      </w:r>
      <w:r w:rsidR="00656208">
        <w:rPr>
          <w:rFonts w:ascii="Times New Roman" w:hAnsi="Times New Roman" w:cs="Times New Roman"/>
          <w:sz w:val="24"/>
          <w:szCs w:val="24"/>
        </w:rPr>
        <w:t>u 2024. i 2025. godini.</w:t>
      </w:r>
    </w:p>
    <w:p w:rsidR="0004421B" w:rsidRDefault="0004421B" w:rsidP="00F6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>PRIJENOS SREDSTAVA IZ PRETHODNE I U SLJEDEĆU GODINU: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ab/>
        <w:t>Općinski sud u Rijeci izuzev prijenosa vlastitih prihoda, a ko</w:t>
      </w:r>
      <w:r w:rsidR="00EA7294" w:rsidRPr="00E70AD6">
        <w:rPr>
          <w:rFonts w:ascii="Times New Roman" w:hAnsi="Times New Roman"/>
        </w:rPr>
        <w:t>ji su za 202</w:t>
      </w:r>
      <w:r w:rsidR="00921FD3">
        <w:rPr>
          <w:rFonts w:ascii="Times New Roman" w:hAnsi="Times New Roman"/>
        </w:rPr>
        <w:t>4</w:t>
      </w:r>
      <w:r w:rsidR="007027C2" w:rsidRPr="00E70AD6">
        <w:rPr>
          <w:rFonts w:ascii="Times New Roman" w:hAnsi="Times New Roman"/>
        </w:rPr>
        <w:t>.</w:t>
      </w:r>
      <w:r w:rsidR="00EA7294" w:rsidRPr="00E70AD6">
        <w:rPr>
          <w:rFonts w:ascii="Times New Roman" w:hAnsi="Times New Roman"/>
        </w:rPr>
        <w:t xml:space="preserve"> godinu iznosili </w:t>
      </w:r>
      <w:r w:rsidR="00921FD3">
        <w:rPr>
          <w:rFonts w:ascii="Times New Roman" w:hAnsi="Times New Roman"/>
        </w:rPr>
        <w:t>1.630,75</w:t>
      </w:r>
      <w:r w:rsidR="00EA7294" w:rsidRPr="00E70AD6">
        <w:rPr>
          <w:rFonts w:ascii="Times New Roman" w:hAnsi="Times New Roman"/>
        </w:rPr>
        <w:t xml:space="preserve"> </w:t>
      </w:r>
      <w:r w:rsidR="00921FD3">
        <w:rPr>
          <w:rFonts w:ascii="Times New Roman" w:hAnsi="Times New Roman"/>
        </w:rPr>
        <w:t>€</w:t>
      </w:r>
      <w:r w:rsidRPr="00E70AD6">
        <w:rPr>
          <w:rFonts w:ascii="Times New Roman" w:hAnsi="Times New Roman"/>
        </w:rPr>
        <w:t>, te novčanih sredstava osiguranih za financiranje materijalnih troškova poštanskih usluga, uredskog materijala, kao i za novčane naknade članovima zemljišnoknjižnih povjerenstva u provedbi postupaka obnove zemljišne knjige sukladno Sporazumima sklopljenim između Općinskog suda u Rijeci i općina i gradova nema drugih prijenosa sredstava u iduću proračunsku godinu.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ab/>
        <w:t xml:space="preserve">Prijenos sredstava za </w:t>
      </w:r>
      <w:r w:rsidR="00921FD3">
        <w:rPr>
          <w:rFonts w:ascii="Times New Roman" w:hAnsi="Times New Roman"/>
        </w:rPr>
        <w:t>2025</w:t>
      </w:r>
      <w:r w:rsidRPr="00E70AD6">
        <w:rPr>
          <w:rFonts w:ascii="Times New Roman" w:hAnsi="Times New Roman"/>
        </w:rPr>
        <w:t>.</w:t>
      </w:r>
      <w:r w:rsidR="000D5940" w:rsidRPr="00E70AD6">
        <w:rPr>
          <w:rFonts w:ascii="Times New Roman" w:hAnsi="Times New Roman"/>
        </w:rPr>
        <w:t xml:space="preserve"> </w:t>
      </w:r>
      <w:r w:rsidRPr="00E70AD6">
        <w:rPr>
          <w:rFonts w:ascii="Times New Roman" w:hAnsi="Times New Roman"/>
        </w:rPr>
        <w:t>godinu teško je predvidjeti obzirom isto ovisi o uspješnosti naplate vlastitih prihoda, utrošenim sredstvima do kraja proračunske 202</w:t>
      </w:r>
      <w:r w:rsidR="00921FD3">
        <w:rPr>
          <w:rFonts w:ascii="Times New Roman" w:hAnsi="Times New Roman"/>
        </w:rPr>
        <w:t>4</w:t>
      </w:r>
      <w:r w:rsidRPr="00E70AD6">
        <w:rPr>
          <w:rFonts w:ascii="Times New Roman" w:hAnsi="Times New Roman"/>
        </w:rPr>
        <w:t>.</w:t>
      </w:r>
      <w:r w:rsidR="0073469E" w:rsidRPr="00E70AD6">
        <w:rPr>
          <w:rFonts w:ascii="Times New Roman" w:hAnsi="Times New Roman"/>
        </w:rPr>
        <w:t xml:space="preserve"> </w:t>
      </w:r>
      <w:r w:rsidRPr="00E70AD6">
        <w:rPr>
          <w:rFonts w:ascii="Times New Roman" w:hAnsi="Times New Roman"/>
        </w:rPr>
        <w:t>godine, te  financiranja od strane općina i gradova.</w:t>
      </w:r>
    </w:p>
    <w:p w:rsidR="00597821" w:rsidRPr="00E70AD6" w:rsidRDefault="00597821" w:rsidP="00721BC6">
      <w:pPr>
        <w:pStyle w:val="Standard"/>
        <w:jc w:val="both"/>
        <w:rPr>
          <w:rFonts w:ascii="Times New Roman" w:hAnsi="Times New Roman"/>
        </w:rPr>
      </w:pPr>
    </w:p>
    <w:p w:rsidR="00597821" w:rsidRPr="00E70AD6" w:rsidRDefault="00597821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>UKUPNE I DOSPJELE OBVEZE:</w:t>
      </w: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236"/>
        <w:gridCol w:w="3388"/>
        <w:gridCol w:w="236"/>
        <w:gridCol w:w="3390"/>
      </w:tblGrid>
      <w:tr w:rsidR="007027C2" w:rsidRPr="00E70AD6" w:rsidTr="007027C2">
        <w:tc>
          <w:tcPr>
            <w:tcW w:w="1812" w:type="dxa"/>
            <w:vMerge w:val="restart"/>
          </w:tcPr>
          <w:p w:rsidR="007027C2" w:rsidRPr="00E70AD6" w:rsidRDefault="007027C2" w:rsidP="00721BC6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7027C2" w:rsidRPr="00E70AD6" w:rsidRDefault="007027C2" w:rsidP="00897F52">
            <w:pPr>
              <w:pStyle w:val="Standard"/>
              <w:jc w:val="center"/>
              <w:rPr>
                <w:rFonts w:ascii="Times New Roman" w:hAnsi="Times New Roman"/>
              </w:rPr>
            </w:pPr>
            <w:r w:rsidRPr="00E70AD6">
              <w:rPr>
                <w:rFonts w:ascii="Times New Roman" w:hAnsi="Times New Roman"/>
              </w:rPr>
              <w:t>Stanje obveza na dan 31.12.202</w:t>
            </w:r>
            <w:r w:rsidR="005A3172">
              <w:rPr>
                <w:rFonts w:ascii="Times New Roman" w:hAnsi="Times New Roman"/>
              </w:rPr>
              <w:t>3</w:t>
            </w:r>
            <w:r w:rsidRPr="00E70AD6">
              <w:rPr>
                <w:rFonts w:ascii="Times New Roman" w:hAnsi="Times New Roman"/>
              </w:rPr>
              <w:t>.</w:t>
            </w:r>
          </w:p>
        </w:tc>
        <w:tc>
          <w:tcPr>
            <w:tcW w:w="3626" w:type="dxa"/>
            <w:gridSpan w:val="2"/>
            <w:vAlign w:val="center"/>
          </w:tcPr>
          <w:p w:rsidR="007027C2" w:rsidRPr="00E70AD6" w:rsidRDefault="007027C2" w:rsidP="00897F52">
            <w:pPr>
              <w:pStyle w:val="Standard"/>
              <w:jc w:val="center"/>
              <w:rPr>
                <w:rFonts w:ascii="Times New Roman" w:hAnsi="Times New Roman"/>
              </w:rPr>
            </w:pPr>
            <w:r w:rsidRPr="00E70AD6">
              <w:rPr>
                <w:rFonts w:ascii="Times New Roman" w:hAnsi="Times New Roman"/>
              </w:rPr>
              <w:t>Stanje obveza na dan 30.06.202</w:t>
            </w:r>
            <w:r w:rsidR="005A3172">
              <w:rPr>
                <w:rFonts w:ascii="Times New Roman" w:hAnsi="Times New Roman"/>
              </w:rPr>
              <w:t>4</w:t>
            </w:r>
            <w:r w:rsidRPr="00E70AD6">
              <w:rPr>
                <w:rFonts w:ascii="Times New Roman" w:hAnsi="Times New Roman"/>
              </w:rPr>
              <w:t>.</w:t>
            </w:r>
          </w:p>
        </w:tc>
      </w:tr>
      <w:tr w:rsidR="007027C2" w:rsidRPr="00E70AD6" w:rsidTr="00897F52">
        <w:tc>
          <w:tcPr>
            <w:tcW w:w="1812" w:type="dxa"/>
            <w:vMerge/>
            <w:vAlign w:val="center"/>
          </w:tcPr>
          <w:p w:rsidR="007027C2" w:rsidRPr="00E70AD6" w:rsidRDefault="007027C2" w:rsidP="007027C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:rsidR="007027C2" w:rsidRPr="00E70AD6" w:rsidRDefault="007027C2" w:rsidP="007027C2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8" w:type="dxa"/>
            <w:vAlign w:val="center"/>
          </w:tcPr>
          <w:p w:rsidR="007027C2" w:rsidRPr="00E70AD6" w:rsidRDefault="007027C2" w:rsidP="007027C2">
            <w:pPr>
              <w:pStyle w:val="Standard"/>
              <w:jc w:val="center"/>
              <w:rPr>
                <w:rFonts w:ascii="Times New Roman" w:hAnsi="Times New Roman"/>
              </w:rPr>
            </w:pPr>
            <w:r w:rsidRPr="00E70AD6">
              <w:rPr>
                <w:rFonts w:ascii="Times New Roman" w:hAnsi="Times New Roman"/>
              </w:rPr>
              <w:t>EUR</w:t>
            </w:r>
          </w:p>
        </w:tc>
        <w:tc>
          <w:tcPr>
            <w:tcW w:w="236" w:type="dxa"/>
            <w:vAlign w:val="center"/>
          </w:tcPr>
          <w:p w:rsidR="007027C2" w:rsidRPr="00E70AD6" w:rsidRDefault="007027C2" w:rsidP="007027C2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:rsidR="007027C2" w:rsidRPr="00E70AD6" w:rsidRDefault="007027C2" w:rsidP="007027C2">
            <w:pPr>
              <w:pStyle w:val="Standard"/>
              <w:jc w:val="center"/>
              <w:rPr>
                <w:rFonts w:ascii="Times New Roman" w:hAnsi="Times New Roman"/>
              </w:rPr>
            </w:pPr>
            <w:r w:rsidRPr="00E70AD6">
              <w:rPr>
                <w:rFonts w:ascii="Times New Roman" w:hAnsi="Times New Roman"/>
              </w:rPr>
              <w:t>EUR</w:t>
            </w:r>
          </w:p>
        </w:tc>
      </w:tr>
      <w:tr w:rsidR="007027C2" w:rsidRPr="00E70AD6" w:rsidTr="00897F52">
        <w:tc>
          <w:tcPr>
            <w:tcW w:w="1812" w:type="dxa"/>
            <w:vAlign w:val="center"/>
          </w:tcPr>
          <w:p w:rsidR="007027C2" w:rsidRPr="00E70AD6" w:rsidRDefault="007027C2" w:rsidP="007027C2">
            <w:pPr>
              <w:pStyle w:val="Standard"/>
              <w:rPr>
                <w:rFonts w:ascii="Times New Roman" w:hAnsi="Times New Roman"/>
              </w:rPr>
            </w:pPr>
            <w:r w:rsidRPr="00E70AD6">
              <w:rPr>
                <w:rFonts w:ascii="Times New Roman" w:hAnsi="Times New Roman"/>
              </w:rPr>
              <w:t>Ukupne obveze</w:t>
            </w:r>
          </w:p>
        </w:tc>
        <w:tc>
          <w:tcPr>
            <w:tcW w:w="236" w:type="dxa"/>
            <w:vAlign w:val="center"/>
          </w:tcPr>
          <w:p w:rsidR="007027C2" w:rsidRPr="00E70AD6" w:rsidRDefault="007027C2" w:rsidP="007027C2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8" w:type="dxa"/>
            <w:vAlign w:val="center"/>
          </w:tcPr>
          <w:p w:rsidR="007027C2" w:rsidRPr="00E70AD6" w:rsidRDefault="004B01F0" w:rsidP="007027C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12.804.929,47</w:t>
            </w:r>
          </w:p>
        </w:tc>
        <w:tc>
          <w:tcPr>
            <w:tcW w:w="236" w:type="dxa"/>
            <w:vAlign w:val="center"/>
          </w:tcPr>
          <w:p w:rsidR="007027C2" w:rsidRPr="00E70AD6" w:rsidRDefault="007027C2" w:rsidP="007027C2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:rsidR="007027C2" w:rsidRPr="00E70AD6" w:rsidRDefault="004B01F0" w:rsidP="007027C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12.636.015,29</w:t>
            </w:r>
          </w:p>
        </w:tc>
      </w:tr>
      <w:tr w:rsidR="007027C2" w:rsidRPr="00E70AD6" w:rsidTr="00897F52">
        <w:tc>
          <w:tcPr>
            <w:tcW w:w="1812" w:type="dxa"/>
            <w:vAlign w:val="center"/>
          </w:tcPr>
          <w:p w:rsidR="007027C2" w:rsidRPr="00E70AD6" w:rsidRDefault="007027C2" w:rsidP="007027C2">
            <w:pPr>
              <w:pStyle w:val="Standard"/>
              <w:rPr>
                <w:rFonts w:ascii="Times New Roman" w:hAnsi="Times New Roman"/>
              </w:rPr>
            </w:pPr>
            <w:r w:rsidRPr="00E70AD6">
              <w:rPr>
                <w:rFonts w:ascii="Times New Roman" w:hAnsi="Times New Roman"/>
              </w:rPr>
              <w:t>Dospjele obveze</w:t>
            </w:r>
          </w:p>
        </w:tc>
        <w:tc>
          <w:tcPr>
            <w:tcW w:w="236" w:type="dxa"/>
            <w:vAlign w:val="center"/>
          </w:tcPr>
          <w:p w:rsidR="007027C2" w:rsidRPr="00E70AD6" w:rsidRDefault="007027C2" w:rsidP="007027C2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8" w:type="dxa"/>
            <w:vAlign w:val="center"/>
          </w:tcPr>
          <w:p w:rsidR="007027C2" w:rsidRPr="00E70AD6" w:rsidRDefault="00AE6E17" w:rsidP="007027C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2.594,66</w:t>
            </w:r>
          </w:p>
        </w:tc>
        <w:tc>
          <w:tcPr>
            <w:tcW w:w="236" w:type="dxa"/>
            <w:vAlign w:val="center"/>
          </w:tcPr>
          <w:p w:rsidR="007027C2" w:rsidRPr="00E70AD6" w:rsidRDefault="007027C2" w:rsidP="007027C2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:rsidR="007027C2" w:rsidRPr="00E70AD6" w:rsidRDefault="004B01F0" w:rsidP="007027C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14.753,84</w:t>
            </w:r>
          </w:p>
        </w:tc>
      </w:tr>
    </w:tbl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p w:rsidR="00721BC6" w:rsidRPr="00E70AD6" w:rsidRDefault="00721BC6" w:rsidP="00721BC6">
      <w:pPr>
        <w:pStyle w:val="Standard"/>
        <w:jc w:val="both"/>
        <w:rPr>
          <w:rFonts w:ascii="Times New Roman" w:hAnsi="Times New Roman"/>
        </w:rPr>
      </w:pPr>
    </w:p>
    <w:sectPr w:rsidR="00721BC6" w:rsidRPr="00E70AD6" w:rsidSect="00721BC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A9" w:rsidRDefault="00DA42A9" w:rsidP="00721BC6">
      <w:pPr>
        <w:spacing w:after="0" w:line="240" w:lineRule="auto"/>
      </w:pPr>
      <w:r>
        <w:separator/>
      </w:r>
    </w:p>
  </w:endnote>
  <w:endnote w:type="continuationSeparator" w:id="0">
    <w:p w:rsidR="00DA42A9" w:rsidRDefault="00DA42A9" w:rsidP="0072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A9" w:rsidRDefault="00DA42A9" w:rsidP="00721BC6">
      <w:pPr>
        <w:spacing w:after="0" w:line="240" w:lineRule="auto"/>
      </w:pPr>
      <w:r>
        <w:separator/>
      </w:r>
    </w:p>
  </w:footnote>
  <w:footnote w:type="continuationSeparator" w:id="0">
    <w:p w:rsidR="00DA42A9" w:rsidRDefault="00DA42A9" w:rsidP="0072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163507"/>
      <w:docPartObj>
        <w:docPartGallery w:val="Page Numbers (Top of Page)"/>
        <w:docPartUnique/>
      </w:docPartObj>
    </w:sdtPr>
    <w:sdtEndPr/>
    <w:sdtContent>
      <w:p w:rsidR="00721BC6" w:rsidRDefault="00721BC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3A5">
          <w:rPr>
            <w:noProof/>
          </w:rPr>
          <w:t>2</w:t>
        </w:r>
        <w:r>
          <w:fldChar w:fldCharType="end"/>
        </w:r>
      </w:p>
    </w:sdtContent>
  </w:sdt>
  <w:p w:rsidR="00721BC6" w:rsidRDefault="00721B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2EE7"/>
    <w:multiLevelType w:val="hybridMultilevel"/>
    <w:tmpl w:val="EFBA6356"/>
    <w:lvl w:ilvl="0" w:tplc="DAFEE5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11D"/>
    <w:multiLevelType w:val="hybridMultilevel"/>
    <w:tmpl w:val="E308657E"/>
    <w:lvl w:ilvl="0" w:tplc="09EE6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2F2"/>
    <w:multiLevelType w:val="hybridMultilevel"/>
    <w:tmpl w:val="83C82BF2"/>
    <w:lvl w:ilvl="0" w:tplc="D1E4A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A46"/>
    <w:multiLevelType w:val="hybridMultilevel"/>
    <w:tmpl w:val="8D440E22"/>
    <w:lvl w:ilvl="0" w:tplc="493013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9E"/>
    <w:rsid w:val="00012B51"/>
    <w:rsid w:val="00027267"/>
    <w:rsid w:val="00040656"/>
    <w:rsid w:val="0004421B"/>
    <w:rsid w:val="000531CE"/>
    <w:rsid w:val="000713EB"/>
    <w:rsid w:val="000762E5"/>
    <w:rsid w:val="000802CF"/>
    <w:rsid w:val="00082A51"/>
    <w:rsid w:val="000A3B96"/>
    <w:rsid w:val="000A7F01"/>
    <w:rsid w:val="000B6229"/>
    <w:rsid w:val="000D23E6"/>
    <w:rsid w:val="000D5940"/>
    <w:rsid w:val="0010130E"/>
    <w:rsid w:val="00155D19"/>
    <w:rsid w:val="00173B9E"/>
    <w:rsid w:val="00186E2D"/>
    <w:rsid w:val="001A2FE5"/>
    <w:rsid w:val="001C0645"/>
    <w:rsid w:val="001E2C21"/>
    <w:rsid w:val="001F7772"/>
    <w:rsid w:val="0020019C"/>
    <w:rsid w:val="00252285"/>
    <w:rsid w:val="002613EF"/>
    <w:rsid w:val="00261F27"/>
    <w:rsid w:val="002631DD"/>
    <w:rsid w:val="002759F1"/>
    <w:rsid w:val="002E4DA1"/>
    <w:rsid w:val="002F133D"/>
    <w:rsid w:val="002F377E"/>
    <w:rsid w:val="003213A5"/>
    <w:rsid w:val="003636E1"/>
    <w:rsid w:val="00376AC6"/>
    <w:rsid w:val="003C4A97"/>
    <w:rsid w:val="00422B66"/>
    <w:rsid w:val="00433DB5"/>
    <w:rsid w:val="0043452E"/>
    <w:rsid w:val="0044493E"/>
    <w:rsid w:val="0044607D"/>
    <w:rsid w:val="00472483"/>
    <w:rsid w:val="00497298"/>
    <w:rsid w:val="004A0716"/>
    <w:rsid w:val="004B01F0"/>
    <w:rsid w:val="004C2646"/>
    <w:rsid w:val="004E423B"/>
    <w:rsid w:val="004E4484"/>
    <w:rsid w:val="004F3ABA"/>
    <w:rsid w:val="0055396F"/>
    <w:rsid w:val="005641AF"/>
    <w:rsid w:val="0056751C"/>
    <w:rsid w:val="00597821"/>
    <w:rsid w:val="005A3172"/>
    <w:rsid w:val="005A68AD"/>
    <w:rsid w:val="005C3868"/>
    <w:rsid w:val="005C748D"/>
    <w:rsid w:val="005F2FBC"/>
    <w:rsid w:val="00611102"/>
    <w:rsid w:val="00656208"/>
    <w:rsid w:val="006B295D"/>
    <w:rsid w:val="006B426D"/>
    <w:rsid w:val="006E72A4"/>
    <w:rsid w:val="007027C2"/>
    <w:rsid w:val="00711A77"/>
    <w:rsid w:val="00721BC6"/>
    <w:rsid w:val="0073469E"/>
    <w:rsid w:val="00743DE9"/>
    <w:rsid w:val="00771A34"/>
    <w:rsid w:val="0078570E"/>
    <w:rsid w:val="007943A8"/>
    <w:rsid w:val="007946A4"/>
    <w:rsid w:val="007971B9"/>
    <w:rsid w:val="0082614D"/>
    <w:rsid w:val="00855AFC"/>
    <w:rsid w:val="00861FD8"/>
    <w:rsid w:val="00870560"/>
    <w:rsid w:val="00882C78"/>
    <w:rsid w:val="008840D3"/>
    <w:rsid w:val="00897F52"/>
    <w:rsid w:val="008B733B"/>
    <w:rsid w:val="008D2431"/>
    <w:rsid w:val="008D58B2"/>
    <w:rsid w:val="008E2C57"/>
    <w:rsid w:val="008F4677"/>
    <w:rsid w:val="00917E86"/>
    <w:rsid w:val="00921FD3"/>
    <w:rsid w:val="009326B5"/>
    <w:rsid w:val="0093702D"/>
    <w:rsid w:val="009450F4"/>
    <w:rsid w:val="00957B82"/>
    <w:rsid w:val="00977573"/>
    <w:rsid w:val="009D56BF"/>
    <w:rsid w:val="009F044B"/>
    <w:rsid w:val="00A0334F"/>
    <w:rsid w:val="00A54E0D"/>
    <w:rsid w:val="00A570C7"/>
    <w:rsid w:val="00AE6E17"/>
    <w:rsid w:val="00AF329C"/>
    <w:rsid w:val="00B14FB5"/>
    <w:rsid w:val="00B174D9"/>
    <w:rsid w:val="00B52DE0"/>
    <w:rsid w:val="00B61D7B"/>
    <w:rsid w:val="00B754A7"/>
    <w:rsid w:val="00BA700F"/>
    <w:rsid w:val="00BE6CF8"/>
    <w:rsid w:val="00C10341"/>
    <w:rsid w:val="00C43547"/>
    <w:rsid w:val="00C8117A"/>
    <w:rsid w:val="00CB59C7"/>
    <w:rsid w:val="00CC60BA"/>
    <w:rsid w:val="00CE0C52"/>
    <w:rsid w:val="00CE27A6"/>
    <w:rsid w:val="00CE6F7D"/>
    <w:rsid w:val="00D00D92"/>
    <w:rsid w:val="00D01CD6"/>
    <w:rsid w:val="00D56ACE"/>
    <w:rsid w:val="00D809F8"/>
    <w:rsid w:val="00D91497"/>
    <w:rsid w:val="00DA42A9"/>
    <w:rsid w:val="00DD20F1"/>
    <w:rsid w:val="00DD2DAC"/>
    <w:rsid w:val="00DD76A1"/>
    <w:rsid w:val="00DE01DF"/>
    <w:rsid w:val="00DF6610"/>
    <w:rsid w:val="00E044DB"/>
    <w:rsid w:val="00E107F0"/>
    <w:rsid w:val="00E20337"/>
    <w:rsid w:val="00E4034A"/>
    <w:rsid w:val="00E44407"/>
    <w:rsid w:val="00E70AD6"/>
    <w:rsid w:val="00E776CA"/>
    <w:rsid w:val="00E9703C"/>
    <w:rsid w:val="00EA7294"/>
    <w:rsid w:val="00EB15C1"/>
    <w:rsid w:val="00EB1730"/>
    <w:rsid w:val="00F01899"/>
    <w:rsid w:val="00F32BB0"/>
    <w:rsid w:val="00F647A6"/>
    <w:rsid w:val="00F70FF6"/>
    <w:rsid w:val="00FB4D44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4B56"/>
  <w15:chartTrackingRefBased/>
  <w15:docId w15:val="{FB9FE528-A861-4CBD-9BA9-BFCC3F05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  <w:style w:type="table" w:styleId="Reetkatablice">
    <w:name w:val="Table Grid"/>
    <w:basedOn w:val="Obinatablica"/>
    <w:uiPriority w:val="39"/>
    <w:rsid w:val="0070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Prgić Ivošić</dc:creator>
  <cp:keywords/>
  <dc:description/>
  <cp:lastModifiedBy>Lea Černi</cp:lastModifiedBy>
  <cp:revision>9</cp:revision>
  <cp:lastPrinted>2024-11-08T09:30:00Z</cp:lastPrinted>
  <dcterms:created xsi:type="dcterms:W3CDTF">2024-11-08T09:54:00Z</dcterms:created>
  <dcterms:modified xsi:type="dcterms:W3CDTF">2024-11-08T15:19:00Z</dcterms:modified>
</cp:coreProperties>
</file>