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E761" w14:textId="77777777" w:rsidR="00077B0D" w:rsidRDefault="00BB7069" w:rsidP="00D7604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OBRAZLOŽENJE OPĆEG DIJELA FINANCIJSKOG PLANA</w:t>
      </w:r>
    </w:p>
    <w:p w14:paraId="3B963CB2" w14:textId="77777777" w:rsidR="00BB7069" w:rsidRDefault="00BB7069" w:rsidP="00D7604E">
      <w:pPr>
        <w:rPr>
          <w:rFonts w:ascii="Times New Roman" w:hAnsi="Times New Roman" w:cs="Times New Roman"/>
        </w:rPr>
      </w:pPr>
    </w:p>
    <w:p w14:paraId="0DA344F2" w14:textId="77777777" w:rsidR="00BB7069" w:rsidRDefault="00BB7069" w:rsidP="00D76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10970 – TRGOVAČKI SUD U SPLITU</w:t>
      </w:r>
    </w:p>
    <w:p w14:paraId="4B98A7F1" w14:textId="77777777" w:rsidR="00BB7069" w:rsidRDefault="00BB7069">
      <w:pPr>
        <w:rPr>
          <w:rFonts w:ascii="Times New Roman" w:hAnsi="Times New Roman" w:cs="Times New Roman"/>
        </w:rPr>
      </w:pPr>
    </w:p>
    <w:p w14:paraId="3A6FB2F3" w14:textId="77777777" w:rsidR="00BB7069" w:rsidRDefault="00BB7069">
      <w:pPr>
        <w:rPr>
          <w:rFonts w:ascii="Times New Roman" w:hAnsi="Times New Roman" w:cs="Times New Roman"/>
        </w:rPr>
      </w:pPr>
    </w:p>
    <w:p w14:paraId="6A30EB6B" w14:textId="77777777" w:rsidR="00BB7069" w:rsidRDefault="00BB7069" w:rsidP="00BB7069">
      <w:pPr>
        <w:rPr>
          <w:rFonts w:ascii="Times New Roman" w:hAnsi="Times New Roman" w:cs="Times New Roman"/>
        </w:rPr>
      </w:pPr>
    </w:p>
    <w:p w14:paraId="71C44B39" w14:textId="77777777" w:rsidR="00BB7069" w:rsidRDefault="00BB70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Trgovački sud u Splitu 31. listopada 2024. ima 81 zaposlenika: 15 sudaca, 62 službenika i 4 namještenika.</w:t>
      </w:r>
    </w:p>
    <w:p w14:paraId="1286C45E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57280AF6" w14:textId="3B60AB13" w:rsidR="00BB7069" w:rsidRDefault="00BB70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Trgovački sud u Splitu pripada razdjelu 109 Ministarstva pravosuđa</w:t>
      </w:r>
      <w:r w:rsidR="00D908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uprave</w:t>
      </w:r>
      <w:r w:rsidR="00D908A8">
        <w:rPr>
          <w:rFonts w:ascii="Times New Roman" w:hAnsi="Times New Roman" w:cs="Times New Roman"/>
        </w:rPr>
        <w:t xml:space="preserve"> i digitalne transformacije,</w:t>
      </w:r>
      <w:r>
        <w:rPr>
          <w:rFonts w:ascii="Times New Roman" w:hAnsi="Times New Roman" w:cs="Times New Roman"/>
        </w:rPr>
        <w:t xml:space="preserve"> glava 70 Trgovački sudovi (oznaka 10970). RKP Trgovačkog suda je 3566.</w:t>
      </w:r>
    </w:p>
    <w:p w14:paraId="36395DC7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51CF7009" w14:textId="2B96C834" w:rsidR="00BB7069" w:rsidRDefault="00BB70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prijedloga financijskog plana proračunskog korisnika temelji se na Zakonu o proračunu („Narodne novine“ broj: 144/21</w:t>
      </w:r>
      <w:r w:rsidR="00F32A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), Pravilniku o proračunskom računovodstvu i Računskom planu („Narodne novine“ broj: </w:t>
      </w:r>
      <w:r w:rsidR="00F32AD3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/2</w:t>
      </w:r>
      <w:r w:rsidR="00F32AD3">
        <w:rPr>
          <w:rFonts w:ascii="Times New Roman" w:hAnsi="Times New Roman" w:cs="Times New Roman"/>
        </w:rPr>
        <w:t xml:space="preserve">3.), </w:t>
      </w:r>
      <w:r>
        <w:rPr>
          <w:rFonts w:ascii="Times New Roman" w:hAnsi="Times New Roman" w:cs="Times New Roman"/>
        </w:rPr>
        <w:t xml:space="preserve">Pravilniku o proračunskim klasifikacijama („Narodne novine“ broj: </w:t>
      </w:r>
      <w:r w:rsidR="00F32AD3">
        <w:rPr>
          <w:rFonts w:ascii="Times New Roman" w:hAnsi="Times New Roman" w:cs="Times New Roman"/>
        </w:rPr>
        <w:t>4/24.) i Pravilniku o planiranju u sustavu proračuna („Narodne novine“ broj: 1/24.).</w:t>
      </w:r>
    </w:p>
    <w:p w14:paraId="1E09F3D2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7EDB7E00" w14:textId="63E2184D" w:rsidR="00BB7069" w:rsidRDefault="00B344D2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</w:t>
      </w:r>
      <w:r w:rsidR="00BB7069">
        <w:rPr>
          <w:rFonts w:ascii="Times New Roman" w:hAnsi="Times New Roman" w:cs="Times New Roman"/>
        </w:rPr>
        <w:t xml:space="preserve"> uputa Ministarstva financija za izradu prijedloga Državnog proračuna Republike Hrvatske</w:t>
      </w:r>
      <w:r>
        <w:rPr>
          <w:rFonts w:ascii="Times New Roman" w:hAnsi="Times New Roman" w:cs="Times New Roman"/>
        </w:rPr>
        <w:t xml:space="preserve"> za razdoblje 2025.-2027.</w:t>
      </w:r>
      <w:r w:rsidR="00BB7069">
        <w:rPr>
          <w:rFonts w:ascii="Times New Roman" w:hAnsi="Times New Roman" w:cs="Times New Roman"/>
        </w:rPr>
        <w:t xml:space="preserve"> i limita koje je odredilo Ministarstvo pravosuđa, uprave i digitalne transformacij</w:t>
      </w:r>
      <w:r w:rsidR="00F32AD3">
        <w:rPr>
          <w:rFonts w:ascii="Times New Roman" w:hAnsi="Times New Roman" w:cs="Times New Roman"/>
        </w:rPr>
        <w:t>e</w:t>
      </w:r>
      <w:r w:rsidR="00BB7069">
        <w:rPr>
          <w:rFonts w:ascii="Times New Roman" w:hAnsi="Times New Roman" w:cs="Times New Roman"/>
        </w:rPr>
        <w:t>, Trgovački sud u Splitu izrađuje prijedlog financijskog plana</w:t>
      </w:r>
      <w:r w:rsidR="009A35D3">
        <w:rPr>
          <w:rFonts w:ascii="Times New Roman" w:hAnsi="Times New Roman" w:cs="Times New Roman"/>
        </w:rPr>
        <w:t xml:space="preserve"> za 2025. i projekcije za sljedeće dvije proračunske godine, a</w:t>
      </w:r>
      <w:r w:rsidR="00BB7069">
        <w:rPr>
          <w:rFonts w:ascii="Times New Roman" w:hAnsi="Times New Roman" w:cs="Times New Roman"/>
        </w:rPr>
        <w:t xml:space="preserve"> koji sadrži:</w:t>
      </w:r>
    </w:p>
    <w:p w14:paraId="457DC77A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055A685E" w14:textId="378AC5C7" w:rsidR="00BB7069" w:rsidRPr="007F6189" w:rsidRDefault="00BB7069" w:rsidP="00BB70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6189">
        <w:rPr>
          <w:rFonts w:ascii="Times New Roman" w:hAnsi="Times New Roman" w:cs="Times New Roman"/>
        </w:rPr>
        <w:t>O</w:t>
      </w:r>
      <w:r w:rsidR="00D60DA3">
        <w:rPr>
          <w:rFonts w:ascii="Times New Roman" w:hAnsi="Times New Roman" w:cs="Times New Roman"/>
        </w:rPr>
        <w:t>pći dio financijskog plana</w:t>
      </w:r>
    </w:p>
    <w:p w14:paraId="786297D7" w14:textId="68D8A945" w:rsidR="00BB7069" w:rsidRPr="007F6189" w:rsidRDefault="00D60DA3" w:rsidP="00BB70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financijskog plana</w:t>
      </w:r>
    </w:p>
    <w:p w14:paraId="79680E0F" w14:textId="139A5E79" w:rsidR="00BB7069" w:rsidRPr="007F6189" w:rsidRDefault="00D60DA3" w:rsidP="00BB70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financijskog plana</w:t>
      </w:r>
    </w:p>
    <w:p w14:paraId="27F05880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4A7FF480" w14:textId="07FC442E" w:rsidR="00BB7069" w:rsidRDefault="00DE6A0A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Trgovački sud u Splitu u postupku planiranja primjenjuje modificirano novčano načelo</w:t>
      </w:r>
      <w:r w:rsidR="00BB70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Podaci o prihodima i primicima te rashodima i izdacima unose se u tablice na razini skupine ekonomske klasifikacije.</w:t>
      </w:r>
    </w:p>
    <w:p w14:paraId="29D3AFB6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3908B175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1D8CB544" w14:textId="77777777" w:rsidR="00BB7069" w:rsidRDefault="00BB7069" w:rsidP="00BB7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PRIMICI</w:t>
      </w:r>
    </w:p>
    <w:p w14:paraId="3A12AA6D" w14:textId="77777777" w:rsidR="00BB7069" w:rsidRDefault="00BB7069" w:rsidP="00BB7069">
      <w:pPr>
        <w:jc w:val="both"/>
        <w:rPr>
          <w:rFonts w:ascii="Times New Roman" w:hAnsi="Times New Roman" w:cs="Times New Roman"/>
        </w:rPr>
      </w:pPr>
    </w:p>
    <w:p w14:paraId="7920DE54" w14:textId="77777777" w:rsidR="002C6152" w:rsidRDefault="00BB70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se </w:t>
      </w:r>
      <w:r w:rsidR="002C6152">
        <w:rPr>
          <w:rFonts w:ascii="Times New Roman" w:hAnsi="Times New Roman" w:cs="Times New Roman"/>
        </w:rPr>
        <w:t>u financijskom planu planiraju prema proračunskim klasifikacijama u planskom razdoblju u kojem se očekuje njihova naplata.</w:t>
      </w:r>
    </w:p>
    <w:p w14:paraId="7CFE2856" w14:textId="77777777" w:rsidR="002C6152" w:rsidRDefault="002C6152" w:rsidP="00E7279C">
      <w:pPr>
        <w:ind w:firstLine="360"/>
        <w:jc w:val="both"/>
        <w:rPr>
          <w:rFonts w:ascii="Times New Roman" w:hAnsi="Times New Roman" w:cs="Times New Roman"/>
        </w:rPr>
      </w:pPr>
    </w:p>
    <w:p w14:paraId="3D5E53C5" w14:textId="77777777" w:rsidR="00BB7069" w:rsidRDefault="00BB70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financiranja:</w:t>
      </w:r>
    </w:p>
    <w:p w14:paraId="66C06F07" w14:textId="2D1E65AD" w:rsidR="00BB7069" w:rsidRDefault="00BB7069" w:rsidP="00BB70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 prihodi i primici (</w:t>
      </w:r>
      <w:r w:rsidR="00694A61">
        <w:rPr>
          <w:rFonts w:ascii="Times New Roman" w:hAnsi="Times New Roman" w:cs="Times New Roman"/>
        </w:rPr>
        <w:t>skupina</w:t>
      </w:r>
      <w:r>
        <w:rPr>
          <w:rFonts w:ascii="Times New Roman" w:hAnsi="Times New Roman" w:cs="Times New Roman"/>
        </w:rPr>
        <w:t xml:space="preserve"> 67)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99,9</w:t>
      </w:r>
      <w:r w:rsidR="00D908A8">
        <w:rPr>
          <w:rFonts w:ascii="Times New Roman" w:hAnsi="Times New Roman" w:cs="Times New Roman"/>
        </w:rPr>
        <w:t xml:space="preserve">352 </w:t>
      </w:r>
      <w:r>
        <w:rPr>
          <w:rFonts w:ascii="Times New Roman" w:hAnsi="Times New Roman" w:cs="Times New Roman"/>
        </w:rPr>
        <w:t>% ukupnog prihoda 2025.</w:t>
      </w:r>
    </w:p>
    <w:p w14:paraId="7F703DCD" w14:textId="1A6C1E7B" w:rsidR="00BB7069" w:rsidRDefault="00BB7069" w:rsidP="00BB70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vlastiti prihodi (</w:t>
      </w:r>
      <w:r w:rsidR="00694A61">
        <w:rPr>
          <w:rFonts w:ascii="Times New Roman" w:hAnsi="Times New Roman" w:cs="Times New Roman"/>
        </w:rPr>
        <w:t xml:space="preserve">skupina </w:t>
      </w:r>
      <w:r>
        <w:rPr>
          <w:rFonts w:ascii="Times New Roman" w:hAnsi="Times New Roman" w:cs="Times New Roman"/>
        </w:rPr>
        <w:t>66)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="00D908A8">
        <w:rPr>
          <w:rFonts w:ascii="Times New Roman" w:hAnsi="Times New Roman" w:cs="Times New Roman"/>
        </w:rPr>
        <w:t xml:space="preserve">199 </w:t>
      </w:r>
      <w:r>
        <w:rPr>
          <w:rFonts w:ascii="Times New Roman" w:hAnsi="Times New Roman" w:cs="Times New Roman"/>
        </w:rPr>
        <w:t>% ukupnog prihoda 2025.</w:t>
      </w:r>
    </w:p>
    <w:p w14:paraId="0FFFCEA5" w14:textId="6D0A866A" w:rsidR="00BB7069" w:rsidRDefault="00BB7069" w:rsidP="00BB70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ostalih prihodi za posebne namjene (</w:t>
      </w:r>
      <w:r w:rsidR="00694A61">
        <w:rPr>
          <w:rFonts w:ascii="Times New Roman" w:hAnsi="Times New Roman" w:cs="Times New Roman"/>
        </w:rPr>
        <w:t>skupina 64</w:t>
      </w:r>
      <w:r>
        <w:rPr>
          <w:rFonts w:ascii="Times New Roman" w:hAnsi="Times New Roman" w:cs="Times New Roman"/>
        </w:rPr>
        <w:t>)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="00D908A8">
        <w:rPr>
          <w:rFonts w:ascii="Times New Roman" w:hAnsi="Times New Roman" w:cs="Times New Roman"/>
        </w:rPr>
        <w:t xml:space="preserve">449 </w:t>
      </w:r>
      <w:r>
        <w:rPr>
          <w:rFonts w:ascii="Times New Roman" w:hAnsi="Times New Roman" w:cs="Times New Roman"/>
        </w:rPr>
        <w:t>% ukupnog prihoda 2025.</w:t>
      </w:r>
    </w:p>
    <w:p w14:paraId="63A75C71" w14:textId="77777777" w:rsidR="00D77469" w:rsidRDefault="00D77469" w:rsidP="00D77469">
      <w:pPr>
        <w:jc w:val="both"/>
        <w:rPr>
          <w:rFonts w:ascii="Times New Roman" w:hAnsi="Times New Roman" w:cs="Times New Roman"/>
        </w:rPr>
      </w:pPr>
    </w:p>
    <w:p w14:paraId="2692465A" w14:textId="77777777" w:rsidR="00D77469" w:rsidRDefault="00D774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prihoda i primitaka</w:t>
      </w:r>
    </w:p>
    <w:p w14:paraId="30CDFDBD" w14:textId="77777777" w:rsidR="00443C3F" w:rsidRDefault="00443C3F" w:rsidP="00E7279C">
      <w:pPr>
        <w:ind w:firstLine="360"/>
        <w:jc w:val="both"/>
        <w:rPr>
          <w:rFonts w:ascii="Times New Roman" w:hAnsi="Times New Roman" w:cs="Times New Roman"/>
        </w:rPr>
      </w:pPr>
    </w:p>
    <w:p w14:paraId="3A44CDA9" w14:textId="77777777" w:rsidR="00443C3F" w:rsidRDefault="00443C3F" w:rsidP="00E7279C">
      <w:pPr>
        <w:ind w:firstLine="360"/>
        <w:jc w:val="both"/>
        <w:rPr>
          <w:rFonts w:ascii="Times New Roman" w:hAnsi="Times New Roman" w:cs="Times New Roman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905"/>
        <w:gridCol w:w="1639"/>
        <w:gridCol w:w="1266"/>
        <w:gridCol w:w="1266"/>
        <w:gridCol w:w="1266"/>
        <w:gridCol w:w="1266"/>
        <w:gridCol w:w="1266"/>
      </w:tblGrid>
      <w:tr w:rsidR="00443C3F" w:rsidRPr="001D561E" w14:paraId="5DE16901" w14:textId="77777777" w:rsidTr="003A4FBB">
        <w:trPr>
          <w:trHeight w:val="570"/>
        </w:trPr>
        <w:tc>
          <w:tcPr>
            <w:tcW w:w="11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AB089B3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Odjeljak</w:t>
            </w:r>
          </w:p>
        </w:tc>
        <w:tc>
          <w:tcPr>
            <w:tcW w:w="136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19F7F94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Naziv</w:t>
            </w:r>
          </w:p>
        </w:tc>
        <w:tc>
          <w:tcPr>
            <w:tcW w:w="136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EEE2BCE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Izvršenje 2023.</w:t>
            </w:r>
          </w:p>
        </w:tc>
        <w:tc>
          <w:tcPr>
            <w:tcW w:w="124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52134BE9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Plan za 2024.</w:t>
            </w:r>
          </w:p>
        </w:tc>
        <w:tc>
          <w:tcPr>
            <w:tcW w:w="124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9540DD3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Plan za 2025.</w:t>
            </w:r>
          </w:p>
        </w:tc>
        <w:tc>
          <w:tcPr>
            <w:tcW w:w="12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8A32BDF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Projekcija 2026.</w:t>
            </w:r>
          </w:p>
        </w:tc>
        <w:tc>
          <w:tcPr>
            <w:tcW w:w="124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6D6EA25" w14:textId="77777777" w:rsidR="00443C3F" w:rsidRPr="00DD1079" w:rsidRDefault="00443C3F" w:rsidP="003A4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Projekcija 2027.</w:t>
            </w:r>
          </w:p>
        </w:tc>
      </w:tr>
      <w:tr w:rsidR="00443C3F" w:rsidRPr="001D561E" w14:paraId="541A4FE4" w14:textId="77777777" w:rsidTr="003A4FBB">
        <w:trPr>
          <w:trHeight w:val="540"/>
        </w:trPr>
        <w:tc>
          <w:tcPr>
            <w:tcW w:w="8800" w:type="dxa"/>
            <w:gridSpan w:val="7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B8623DB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A639000 - Vođenje sudskih postupaka iz nadležnosti trgovačkih sudova ,                                                              Funkcija 033 - Sudovi, 10970 - Trgovački sud u Splitu, RKP 3566</w:t>
            </w:r>
          </w:p>
        </w:tc>
      </w:tr>
      <w:tr w:rsidR="00443C3F" w:rsidRPr="00DD1079" w14:paraId="0157E1C5" w14:textId="77777777" w:rsidTr="003A4FBB">
        <w:trPr>
          <w:trHeight w:val="285"/>
        </w:trPr>
        <w:tc>
          <w:tcPr>
            <w:tcW w:w="2500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077B4AC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11 -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5B5AF1F7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1.733.123,30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B017582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2.618.439,00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205E1D5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2.670.795,00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06B5678C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2.496.254,00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8521E0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2.515.150,00</w:t>
            </w:r>
          </w:p>
        </w:tc>
      </w:tr>
      <w:tr w:rsidR="00443C3F" w:rsidRPr="00DD1079" w14:paraId="0CD08C84" w14:textId="77777777" w:rsidTr="003A4FB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37CFE96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D3F86EE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9280D8C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1.733.123,30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09C9514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2.618.439,00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21000EC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2.670.795,00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B0043DC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2.496.254,00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4383ED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2.515.150,00</w:t>
            </w:r>
          </w:p>
        </w:tc>
      </w:tr>
      <w:tr w:rsidR="00443C3F" w:rsidRPr="00DD1079" w14:paraId="66644F9A" w14:textId="77777777" w:rsidTr="003A4FBB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7AB4A78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1549F02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 IZ NADLEŽNOSTI PRORAČUNA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664D927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1.733.123,30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5EBADAC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2.618.439,00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D7266AA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2.670.795,00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8D97707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2.496.254,00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9B81758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2.515.150,00</w:t>
            </w:r>
          </w:p>
        </w:tc>
      </w:tr>
      <w:tr w:rsidR="00443C3F" w:rsidRPr="00DD1079" w14:paraId="4F742A4C" w14:textId="77777777" w:rsidTr="003A4FBB">
        <w:trPr>
          <w:trHeight w:val="285"/>
        </w:trPr>
        <w:tc>
          <w:tcPr>
            <w:tcW w:w="2500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14EAF79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31 - 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2AE7758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718,73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A254242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26BCF45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CFB561E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0123A4C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</w:tr>
      <w:tr w:rsidR="00443C3F" w:rsidRPr="00DD1079" w14:paraId="6C8D2717" w14:textId="77777777" w:rsidTr="003A4FB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6878991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8B54A75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DF6289F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718,73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781257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088226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19D664B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E6A3C04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</w:tr>
      <w:tr w:rsidR="00443C3F" w:rsidRPr="00DD1079" w14:paraId="7C9EED07" w14:textId="77777777" w:rsidTr="003A4FBB">
        <w:trPr>
          <w:trHeight w:val="1512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E217BB0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5930326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 OD PRODAJE PROIZ.I ROBE, PRUŽ.USLUGA, DONACIJA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3ECBE84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718,73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C55B58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F20F0C0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DC0DC40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ACE6FA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</w:tr>
      <w:tr w:rsidR="00443C3F" w:rsidRPr="00DD1079" w14:paraId="494A5C4A" w14:textId="77777777" w:rsidTr="003A4FBB">
        <w:trPr>
          <w:trHeight w:val="585"/>
        </w:trPr>
        <w:tc>
          <w:tcPr>
            <w:tcW w:w="2500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7F813AF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43 - 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0318216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FC5430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5DA8631E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FEF5A0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C5CA59D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</w:tr>
      <w:tr w:rsidR="00443C3F" w:rsidRPr="00DD1079" w14:paraId="0C2E0833" w14:textId="77777777" w:rsidTr="003A4FB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4C35E12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5FCB48E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AA7612A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24736DE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110956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43F5C98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DCFE917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</w:tr>
      <w:tr w:rsidR="00443C3F" w:rsidRPr="00DD1079" w14:paraId="5D68E3F4" w14:textId="77777777" w:rsidTr="003A4FBB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CFD5522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DB7D390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Prihodi od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03C2FD4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0039CDF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5A61471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F6B0F96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941D3D9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</w:tr>
      <w:tr w:rsidR="00443C3F" w:rsidRPr="00DD1079" w14:paraId="63586186" w14:textId="77777777" w:rsidTr="003A4FBB">
        <w:trPr>
          <w:trHeight w:val="285"/>
        </w:trPr>
        <w:tc>
          <w:tcPr>
            <w:tcW w:w="2500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BFDE35B" w14:textId="77777777" w:rsidR="00443C3F" w:rsidRPr="00DD1079" w:rsidRDefault="00443C3F" w:rsidP="003A4FB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607DA1F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1.733.842,03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647BCB7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2.619.368,00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91F9039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2.672.526,00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AECA915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2.497.985,00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41F6452" w14:textId="77777777" w:rsidR="00443C3F" w:rsidRPr="00DD1079" w:rsidRDefault="00443C3F" w:rsidP="003A4FB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2.516.881,00</w:t>
            </w:r>
          </w:p>
        </w:tc>
      </w:tr>
    </w:tbl>
    <w:p w14:paraId="20A9E15A" w14:textId="77777777" w:rsidR="00443C3F" w:rsidRPr="00DD1079" w:rsidRDefault="00443C3F" w:rsidP="00E7279C">
      <w:pPr>
        <w:ind w:firstLine="360"/>
        <w:jc w:val="both"/>
        <w:rPr>
          <w:rFonts w:ascii="Times New Roman" w:hAnsi="Times New Roman" w:cs="Times New Roman"/>
          <w:szCs w:val="24"/>
        </w:rPr>
      </w:pPr>
    </w:p>
    <w:p w14:paraId="476BF4B0" w14:textId="77777777" w:rsidR="00443C3F" w:rsidRPr="00DD1079" w:rsidRDefault="00443C3F" w:rsidP="00E7279C">
      <w:pPr>
        <w:ind w:firstLine="360"/>
        <w:jc w:val="both"/>
        <w:rPr>
          <w:rFonts w:ascii="Times New Roman" w:hAnsi="Times New Roman" w:cs="Times New Roman"/>
          <w:szCs w:val="24"/>
        </w:rPr>
      </w:pPr>
    </w:p>
    <w:p w14:paraId="54A1A25E" w14:textId="77777777" w:rsidR="00D77469" w:rsidRPr="00DD1079" w:rsidRDefault="00D77469" w:rsidP="00D77469">
      <w:pPr>
        <w:jc w:val="both"/>
        <w:rPr>
          <w:rFonts w:ascii="Times New Roman" w:hAnsi="Times New Roman" w:cs="Times New Roman"/>
          <w:szCs w:val="24"/>
        </w:rPr>
      </w:pPr>
    </w:p>
    <w:p w14:paraId="57DEC86A" w14:textId="77777777" w:rsidR="00D77469" w:rsidRDefault="00D774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prihodi i primici obuhvaćaju prihode koje ostvarujemo iz nadležnog proračuna za financiranje redovne djelatnosti – vođenje sudskih postupaka iz nadležnosti trgovačkih sudova (A 639000).</w:t>
      </w:r>
    </w:p>
    <w:p w14:paraId="18BB634D" w14:textId="77777777" w:rsidR="00D77469" w:rsidRDefault="00D77469" w:rsidP="00D77469">
      <w:pPr>
        <w:jc w:val="both"/>
        <w:rPr>
          <w:rFonts w:ascii="Times New Roman" w:hAnsi="Times New Roman" w:cs="Times New Roman"/>
        </w:rPr>
      </w:pPr>
    </w:p>
    <w:p w14:paraId="67DD3DD0" w14:textId="74F3D4EA" w:rsidR="002C6152" w:rsidRDefault="00D774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Vlastiti prihodi odnose se na prihode od fotokopiranja i najam prostora za postavljanje samouslužnog aparata. Planiramo ostvariti vlastite prihode 2025. </w:t>
      </w:r>
      <w:r w:rsidR="004F1421">
        <w:rPr>
          <w:rFonts w:ascii="Times New Roman" w:hAnsi="Times New Roman" w:cs="Times New Roman"/>
        </w:rPr>
        <w:t>u iznosu 531,00 euro</w:t>
      </w:r>
      <w:r>
        <w:rPr>
          <w:rFonts w:ascii="Times New Roman" w:hAnsi="Times New Roman" w:cs="Times New Roman"/>
        </w:rPr>
        <w:t>, projekcija</w:t>
      </w:r>
      <w:r w:rsidR="0016086E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 2026. i 20</w:t>
      </w:r>
      <w:r w:rsidR="00B344D2">
        <w:rPr>
          <w:rFonts w:ascii="Times New Roman" w:hAnsi="Times New Roman" w:cs="Times New Roman"/>
        </w:rPr>
        <w:t>27. je ista. Navedeni prihodi</w:t>
      </w:r>
      <w:r>
        <w:rPr>
          <w:rFonts w:ascii="Times New Roman" w:hAnsi="Times New Roman" w:cs="Times New Roman"/>
        </w:rPr>
        <w:t xml:space="preserve"> uplaćuju </w:t>
      </w:r>
      <w:r w:rsidR="00B344D2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u državni pror</w:t>
      </w:r>
      <w:r w:rsidR="00B344D2">
        <w:rPr>
          <w:rFonts w:ascii="Times New Roman" w:hAnsi="Times New Roman" w:cs="Times New Roman"/>
        </w:rPr>
        <w:t>ačun</w:t>
      </w:r>
      <w:r>
        <w:rPr>
          <w:rFonts w:ascii="Times New Roman" w:hAnsi="Times New Roman" w:cs="Times New Roman"/>
        </w:rPr>
        <w:t xml:space="preserve"> te se koriste za podmirenje materijalnih rashoda prema odobrenom financijskom planu nadležnog ministarstva. Planirali smo podmiriti sljedeće materijalne rashode: uredski materijal i ostali materijalni rashodi, usluge tekućeg i investicijskog odr</w:t>
      </w:r>
      <w:r w:rsidR="002C6152">
        <w:rPr>
          <w:rFonts w:ascii="Times New Roman" w:hAnsi="Times New Roman" w:cs="Times New Roman"/>
        </w:rPr>
        <w:t>žavanja</w:t>
      </w:r>
      <w:r w:rsidR="00D7604E">
        <w:rPr>
          <w:rFonts w:ascii="Times New Roman" w:hAnsi="Times New Roman" w:cs="Times New Roman"/>
        </w:rPr>
        <w:t xml:space="preserve"> i</w:t>
      </w:r>
      <w:r w:rsidR="002C6152">
        <w:rPr>
          <w:rFonts w:ascii="Times New Roman" w:hAnsi="Times New Roman" w:cs="Times New Roman"/>
        </w:rPr>
        <w:t xml:space="preserve"> zakupnine i najamnine.</w:t>
      </w:r>
      <w:r w:rsidR="004F1421">
        <w:rPr>
          <w:rFonts w:ascii="Times New Roman" w:hAnsi="Times New Roman" w:cs="Times New Roman"/>
        </w:rPr>
        <w:t xml:space="preserve"> </w:t>
      </w:r>
      <w:r w:rsidR="00D7604E">
        <w:rPr>
          <w:rFonts w:ascii="Times New Roman" w:hAnsi="Times New Roman" w:cs="Times New Roman"/>
        </w:rPr>
        <w:t>Prethodnih</w:t>
      </w:r>
      <w:r w:rsidR="004F1421">
        <w:rPr>
          <w:rFonts w:ascii="Times New Roman" w:hAnsi="Times New Roman" w:cs="Times New Roman"/>
        </w:rPr>
        <w:t xml:space="preserve"> godina iz vlastitih prihoda po</w:t>
      </w:r>
      <w:r w:rsidR="00901256">
        <w:rPr>
          <w:rFonts w:ascii="Times New Roman" w:hAnsi="Times New Roman" w:cs="Times New Roman"/>
        </w:rPr>
        <w:t>dmirivali smo i reprezentaciju te</w:t>
      </w:r>
      <w:r w:rsidR="004F1421">
        <w:rPr>
          <w:rFonts w:ascii="Times New Roman" w:hAnsi="Times New Roman" w:cs="Times New Roman"/>
        </w:rPr>
        <w:t xml:space="preserve"> ostale nespomenute rashode poslovanja.</w:t>
      </w:r>
    </w:p>
    <w:p w14:paraId="2D994149" w14:textId="77777777" w:rsidR="002C6152" w:rsidRDefault="002C6152" w:rsidP="00E7279C">
      <w:pPr>
        <w:ind w:firstLine="360"/>
        <w:jc w:val="both"/>
        <w:rPr>
          <w:rFonts w:ascii="Times New Roman" w:hAnsi="Times New Roman" w:cs="Times New Roman"/>
        </w:rPr>
      </w:pPr>
    </w:p>
    <w:p w14:paraId="6B6A567F" w14:textId="137A0FF9" w:rsidR="00D77469" w:rsidRDefault="00D77469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prihodi za posebne namjene odnose se na kamate ostvarene od sredstava koja se vode na računima sudova. Planirali smo od ostvarenih prihoda podmiriti rashode za usluge tekućeg i investicijskog održavanja (</w:t>
      </w:r>
      <w:r w:rsidR="00B344D2">
        <w:rPr>
          <w:rFonts w:ascii="Times New Roman" w:hAnsi="Times New Roman" w:cs="Times New Roman"/>
        </w:rPr>
        <w:t>2025., 2026. i</w:t>
      </w:r>
      <w:r w:rsidR="004F1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2027.). Planiramo ostvariti 1.200,00 EUR </w:t>
      </w:r>
      <w:r w:rsidR="00D7604E">
        <w:rPr>
          <w:rFonts w:ascii="Times New Roman" w:hAnsi="Times New Roman" w:cs="Times New Roman"/>
        </w:rPr>
        <w:t>za sve tri godine.</w:t>
      </w:r>
    </w:p>
    <w:p w14:paraId="285E22B9" w14:textId="77777777" w:rsidR="004A4851" w:rsidRDefault="004A4851" w:rsidP="00E7279C">
      <w:pPr>
        <w:ind w:firstLine="360"/>
        <w:jc w:val="both"/>
        <w:rPr>
          <w:rFonts w:ascii="Times New Roman" w:hAnsi="Times New Roman" w:cs="Times New Roman"/>
        </w:rPr>
      </w:pPr>
    </w:p>
    <w:p w14:paraId="403C7B28" w14:textId="77777777" w:rsidR="004A4851" w:rsidRDefault="004A4851" w:rsidP="00E7279C">
      <w:pPr>
        <w:ind w:firstLine="360"/>
        <w:jc w:val="both"/>
        <w:rPr>
          <w:rFonts w:ascii="Times New Roman" w:hAnsi="Times New Roman" w:cs="Times New Roman"/>
        </w:rPr>
      </w:pPr>
    </w:p>
    <w:p w14:paraId="386F8EC9" w14:textId="77777777" w:rsidR="00D77469" w:rsidRDefault="00D77469" w:rsidP="00D77469">
      <w:pPr>
        <w:jc w:val="both"/>
        <w:rPr>
          <w:rFonts w:ascii="Times New Roman" w:hAnsi="Times New Roman" w:cs="Times New Roman"/>
        </w:rPr>
      </w:pPr>
    </w:p>
    <w:p w14:paraId="2AC582A6" w14:textId="77777777" w:rsidR="00D77469" w:rsidRDefault="00D77469" w:rsidP="00D774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I IZDACI</w:t>
      </w:r>
    </w:p>
    <w:p w14:paraId="2D362400" w14:textId="77777777" w:rsidR="004A4851" w:rsidRDefault="004A4851" w:rsidP="004A4851">
      <w:pPr>
        <w:ind w:firstLine="360"/>
        <w:jc w:val="both"/>
        <w:rPr>
          <w:rFonts w:ascii="Times New Roman" w:hAnsi="Times New Roman" w:cs="Times New Roman"/>
        </w:rPr>
      </w:pPr>
    </w:p>
    <w:p w14:paraId="79A02EB8" w14:textId="5F7720D2" w:rsidR="004A4851" w:rsidRDefault="004A4851" w:rsidP="004A485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u financijskom planu planiraju prema proračunskim klasifikacijama u planskom razdoblju u kojem se očekuje njihovo plaćanje odnosno podmirenje obveze.</w:t>
      </w:r>
    </w:p>
    <w:p w14:paraId="112D3066" w14:textId="77777777" w:rsidR="004A4851" w:rsidRDefault="004A4851" w:rsidP="004A4851">
      <w:pPr>
        <w:ind w:firstLine="360"/>
        <w:jc w:val="both"/>
        <w:rPr>
          <w:rFonts w:ascii="Times New Roman" w:hAnsi="Times New Roman" w:cs="Times New Roman"/>
        </w:rPr>
      </w:pPr>
    </w:p>
    <w:p w14:paraId="0DA66DBC" w14:textId="77777777" w:rsidR="004A4851" w:rsidRDefault="004A4851" w:rsidP="004A485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financiranja:</w:t>
      </w:r>
    </w:p>
    <w:p w14:paraId="44CC6D02" w14:textId="0EC16B65" w:rsidR="004A4851" w:rsidRDefault="004A4851" w:rsidP="004A485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11 - opći prihodi i primici (razred 3 i 4</w:t>
      </w:r>
      <w:r w:rsidR="00E14BEF">
        <w:rPr>
          <w:rFonts w:ascii="Times New Roman" w:hAnsi="Times New Roman" w:cs="Times New Roman"/>
        </w:rPr>
        <w:t>, skupine 31, 32, 34, 42, 45</w:t>
      </w:r>
      <w:r>
        <w:rPr>
          <w:rFonts w:ascii="Times New Roman" w:hAnsi="Times New Roman" w:cs="Times New Roman"/>
        </w:rPr>
        <w:t>) - 99,9352 % ukupn</w:t>
      </w:r>
      <w:r w:rsidR="0042592B">
        <w:rPr>
          <w:rFonts w:ascii="Times New Roman" w:hAnsi="Times New Roman" w:cs="Times New Roman"/>
        </w:rPr>
        <w:t>ih rashoda</w:t>
      </w:r>
      <w:r>
        <w:rPr>
          <w:rFonts w:ascii="Times New Roman" w:hAnsi="Times New Roman" w:cs="Times New Roman"/>
        </w:rPr>
        <w:t xml:space="preserve"> 2025.</w:t>
      </w:r>
    </w:p>
    <w:p w14:paraId="717EC9E7" w14:textId="0128DD8D" w:rsidR="004A4851" w:rsidRDefault="004A4851" w:rsidP="004A485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31 - vlastiti prihodi (</w:t>
      </w:r>
      <w:r w:rsidR="0016086E">
        <w:rPr>
          <w:rFonts w:ascii="Times New Roman" w:hAnsi="Times New Roman" w:cs="Times New Roman"/>
        </w:rPr>
        <w:t xml:space="preserve">razred 3, </w:t>
      </w:r>
      <w:r>
        <w:rPr>
          <w:rFonts w:ascii="Times New Roman" w:hAnsi="Times New Roman" w:cs="Times New Roman"/>
        </w:rPr>
        <w:t xml:space="preserve">skupina </w:t>
      </w:r>
      <w:r w:rsidR="0042592B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) - 0,0199 % ukupn</w:t>
      </w:r>
      <w:r w:rsidR="0042592B">
        <w:rPr>
          <w:rFonts w:ascii="Times New Roman" w:hAnsi="Times New Roman" w:cs="Times New Roman"/>
        </w:rPr>
        <w:t>ih r</w:t>
      </w:r>
      <w:r w:rsidR="00EB74C5">
        <w:rPr>
          <w:rFonts w:ascii="Times New Roman" w:hAnsi="Times New Roman" w:cs="Times New Roman"/>
        </w:rPr>
        <w:t>a</w:t>
      </w:r>
      <w:r w:rsidR="0042592B">
        <w:rPr>
          <w:rFonts w:ascii="Times New Roman" w:hAnsi="Times New Roman" w:cs="Times New Roman"/>
        </w:rPr>
        <w:t>shoda</w:t>
      </w:r>
      <w:r>
        <w:rPr>
          <w:rFonts w:ascii="Times New Roman" w:hAnsi="Times New Roman" w:cs="Times New Roman"/>
        </w:rPr>
        <w:t xml:space="preserve"> 2025.</w:t>
      </w:r>
    </w:p>
    <w:p w14:paraId="28149D81" w14:textId="04D1D7F2" w:rsidR="004A4851" w:rsidRDefault="004A4851" w:rsidP="004A485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43 - ostalih prihodi za posebne namjene (</w:t>
      </w:r>
      <w:r w:rsidR="0016086E">
        <w:rPr>
          <w:rFonts w:ascii="Times New Roman" w:hAnsi="Times New Roman" w:cs="Times New Roman"/>
        </w:rPr>
        <w:t xml:space="preserve">razred 3, </w:t>
      </w:r>
      <w:r>
        <w:rPr>
          <w:rFonts w:ascii="Times New Roman" w:hAnsi="Times New Roman" w:cs="Times New Roman"/>
        </w:rPr>
        <w:t xml:space="preserve">skupina </w:t>
      </w:r>
      <w:r w:rsidR="0042592B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) - 0,0449 % ukupn</w:t>
      </w:r>
      <w:r w:rsidR="0042592B">
        <w:rPr>
          <w:rFonts w:ascii="Times New Roman" w:hAnsi="Times New Roman" w:cs="Times New Roman"/>
        </w:rPr>
        <w:t>ih rashoda</w:t>
      </w:r>
      <w:r>
        <w:rPr>
          <w:rFonts w:ascii="Times New Roman" w:hAnsi="Times New Roman" w:cs="Times New Roman"/>
        </w:rPr>
        <w:t xml:space="preserve"> 2025.</w:t>
      </w:r>
    </w:p>
    <w:p w14:paraId="39EB17A2" w14:textId="77777777" w:rsidR="004A4851" w:rsidRDefault="004A4851" w:rsidP="004A4851">
      <w:pPr>
        <w:jc w:val="both"/>
        <w:rPr>
          <w:rFonts w:ascii="Times New Roman" w:hAnsi="Times New Roman" w:cs="Times New Roman"/>
        </w:rPr>
      </w:pPr>
    </w:p>
    <w:p w14:paraId="7631D4AC" w14:textId="77777777" w:rsidR="00C124E5" w:rsidRDefault="00C124E5" w:rsidP="00C124E5">
      <w:pPr>
        <w:jc w:val="both"/>
        <w:rPr>
          <w:rFonts w:ascii="Times New Roman" w:hAnsi="Times New Roman" w:cs="Times New Roman"/>
        </w:rPr>
      </w:pPr>
    </w:p>
    <w:p w14:paraId="70B8B76D" w14:textId="77777777" w:rsidR="00C124E5" w:rsidRDefault="00C124E5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rashoda i izdataka</w:t>
      </w:r>
    </w:p>
    <w:p w14:paraId="7961D4FE" w14:textId="77777777" w:rsidR="00C124E5" w:rsidRDefault="00C124E5" w:rsidP="00C124E5">
      <w:pPr>
        <w:jc w:val="both"/>
        <w:rPr>
          <w:rFonts w:ascii="Times New Roman" w:hAnsi="Times New Roman" w:cs="Times New Roman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905"/>
        <w:gridCol w:w="1750"/>
        <w:gridCol w:w="1266"/>
        <w:gridCol w:w="1266"/>
        <w:gridCol w:w="1266"/>
        <w:gridCol w:w="1266"/>
        <w:gridCol w:w="1266"/>
      </w:tblGrid>
      <w:tr w:rsidR="00DD1079" w:rsidRPr="00DD1079" w14:paraId="1F6DCB47" w14:textId="77777777" w:rsidTr="00DD1079">
        <w:trPr>
          <w:trHeight w:val="510"/>
        </w:trPr>
        <w:tc>
          <w:tcPr>
            <w:tcW w:w="107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FB0F0D9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Odjeljak</w:t>
            </w:r>
          </w:p>
        </w:tc>
        <w:tc>
          <w:tcPr>
            <w:tcW w:w="156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2149D22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Naziv</w:t>
            </w:r>
          </w:p>
        </w:tc>
        <w:tc>
          <w:tcPr>
            <w:tcW w:w="137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BDD0C47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Izvršenje 2023.</w:t>
            </w:r>
          </w:p>
        </w:tc>
        <w:tc>
          <w:tcPr>
            <w:tcW w:w="121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0A2CBB11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Plan za 2024.</w:t>
            </w:r>
          </w:p>
        </w:tc>
        <w:tc>
          <w:tcPr>
            <w:tcW w:w="121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1112249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Plan za 2025.</w:t>
            </w:r>
          </w:p>
        </w:tc>
        <w:tc>
          <w:tcPr>
            <w:tcW w:w="119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95D43AE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Projekcija 2026.</w:t>
            </w:r>
          </w:p>
        </w:tc>
        <w:tc>
          <w:tcPr>
            <w:tcW w:w="121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9FA391C" w14:textId="77777777" w:rsidR="00DD1079" w:rsidRPr="00DD1079" w:rsidRDefault="00DD1079" w:rsidP="00DD1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Projekcija 2027.</w:t>
            </w:r>
          </w:p>
        </w:tc>
      </w:tr>
      <w:tr w:rsidR="00DD1079" w:rsidRPr="00DD1079" w14:paraId="1E6BFA41" w14:textId="77777777" w:rsidTr="00DD1079">
        <w:trPr>
          <w:trHeight w:val="540"/>
        </w:trPr>
        <w:tc>
          <w:tcPr>
            <w:tcW w:w="8860" w:type="dxa"/>
            <w:gridSpan w:val="7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21C300B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A639000 - Vođenje sudskih postupaka iz nadležnosti trgovačkih sudova ,                                                              Funkcija 033 - Sudovi, 10970 - Trgovački sud u Splitu, RKP 3566</w:t>
            </w:r>
          </w:p>
        </w:tc>
      </w:tr>
      <w:tr w:rsidR="00DD1079" w:rsidRPr="00DD1079" w14:paraId="1A53A838" w14:textId="77777777" w:rsidTr="00DD1079">
        <w:trPr>
          <w:trHeight w:val="255"/>
        </w:trPr>
        <w:tc>
          <w:tcPr>
            <w:tcW w:w="264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2F6C4470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11 - Opći prihodi i primici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78A58B3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1.733.123,30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179A6F7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2.618.439,00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30726B2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2.670.795,00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4647A1D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2.496.254,00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DADA9B0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2.515.150,00</w:t>
            </w:r>
          </w:p>
        </w:tc>
      </w:tr>
      <w:tr w:rsidR="00DD1079" w:rsidRPr="00DD1079" w14:paraId="46145C32" w14:textId="77777777" w:rsidTr="00DD1079">
        <w:trPr>
          <w:trHeight w:val="510"/>
        </w:trPr>
        <w:tc>
          <w:tcPr>
            <w:tcW w:w="1079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66939AC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DD64058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RASHODI POSLOVANJA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F6F4708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1.729.244,28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B0500A7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2.356.905,00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9F70586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2.425.514,00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49BAD16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2.487.750,00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34C02CD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2.492.400,00</w:t>
            </w:r>
          </w:p>
        </w:tc>
      </w:tr>
      <w:tr w:rsidR="00DD1079" w:rsidRPr="00DD1079" w14:paraId="51003CCD" w14:textId="77777777" w:rsidTr="00DD1079">
        <w:trPr>
          <w:trHeight w:val="1185"/>
        </w:trPr>
        <w:tc>
          <w:tcPr>
            <w:tcW w:w="1079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621CF65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A1E1861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RASHODI ZA NABAVU NEFINANCIJSKE IMOVINE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5F9A0E0A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3.879,02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4197671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261.534,00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FE19A9A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245.281,00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CF4DFB6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8.504,00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93713D1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22.750,00</w:t>
            </w:r>
          </w:p>
        </w:tc>
      </w:tr>
      <w:tr w:rsidR="00DD1079" w:rsidRPr="00DD1079" w14:paraId="4B62758C" w14:textId="77777777" w:rsidTr="00DD1079">
        <w:trPr>
          <w:trHeight w:val="255"/>
        </w:trPr>
        <w:tc>
          <w:tcPr>
            <w:tcW w:w="264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1295254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31 - Vlastiti prihodi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7948096C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718,73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5B9E7B2E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796,00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9E872CB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1588C2D8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3AA79DEE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</w:tr>
      <w:tr w:rsidR="00DD1079" w:rsidRPr="00DD1079" w14:paraId="45FB0C03" w14:textId="77777777" w:rsidTr="00DD1079">
        <w:trPr>
          <w:trHeight w:val="510"/>
        </w:trPr>
        <w:tc>
          <w:tcPr>
            <w:tcW w:w="1079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B445DA5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8C937FE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RASHODI POSLOVANJA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A75D5D4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718,73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598F597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796,00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81277F2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79073CD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BB76718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531,00</w:t>
            </w:r>
          </w:p>
        </w:tc>
      </w:tr>
      <w:tr w:rsidR="00DD1079" w:rsidRPr="00DD1079" w14:paraId="756F079D" w14:textId="77777777" w:rsidTr="00DD1079">
        <w:trPr>
          <w:trHeight w:val="585"/>
        </w:trPr>
        <w:tc>
          <w:tcPr>
            <w:tcW w:w="264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B08B883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43 - Ostali prihodi za posebne namjene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289B693C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D20EEFF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133,00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237DA26D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25CCF7C1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3497DE1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</w:tr>
      <w:tr w:rsidR="00DD1079" w:rsidRPr="00DD1079" w14:paraId="04DB6C54" w14:textId="77777777" w:rsidTr="00DD1079">
        <w:trPr>
          <w:trHeight w:val="510"/>
        </w:trPr>
        <w:tc>
          <w:tcPr>
            <w:tcW w:w="1079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F83FAEF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53E880D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RASHODI POSLOVANJA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AF643C7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492CFBC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133,00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F3819BE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6405B94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E05F02B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1.200,00</w:t>
            </w:r>
          </w:p>
        </w:tc>
      </w:tr>
      <w:tr w:rsidR="00DD1079" w:rsidRPr="00DD1079" w14:paraId="684D1CFC" w14:textId="77777777" w:rsidTr="00DD1079">
        <w:trPr>
          <w:trHeight w:val="255"/>
        </w:trPr>
        <w:tc>
          <w:tcPr>
            <w:tcW w:w="2643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70D789A9" w14:textId="77777777" w:rsidR="00DD1079" w:rsidRPr="00DD1079" w:rsidRDefault="00DD1079" w:rsidP="00DD107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Ukupno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7C90C9C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1.733.842,03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6F58C06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2.619.368,00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509835E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2.672.526,00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3901880A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2.497.985,00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ACCA7C6" w14:textId="77777777" w:rsidR="00DD1079" w:rsidRPr="00DD1079" w:rsidRDefault="00DD1079" w:rsidP="00DD1079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</w:pPr>
            <w:r w:rsidRPr="00DD107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en-GB"/>
              </w:rPr>
              <w:t>2.516.881,00</w:t>
            </w:r>
          </w:p>
        </w:tc>
      </w:tr>
    </w:tbl>
    <w:p w14:paraId="31E54CE3" w14:textId="77777777" w:rsidR="0076629E" w:rsidRDefault="0076629E" w:rsidP="00C124E5">
      <w:pPr>
        <w:jc w:val="both"/>
        <w:rPr>
          <w:rFonts w:ascii="Times New Roman" w:hAnsi="Times New Roman" w:cs="Times New Roman"/>
        </w:rPr>
      </w:pPr>
    </w:p>
    <w:p w14:paraId="3681AFCE" w14:textId="160959F4" w:rsidR="00AE24DF" w:rsidRDefault="00134BEB" w:rsidP="00C12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Ukupno planirani rashodi za 2025. iznose 2.672.526,00 eura što je povećanje od 54,1</w:t>
      </w:r>
      <w:r w:rsidR="00B344D2">
        <w:rPr>
          <w:rFonts w:ascii="Times New Roman" w:hAnsi="Times New Roman" w:cs="Times New Roman"/>
        </w:rPr>
        <w:t xml:space="preserve">4% u odnosu na izvršenje 2023. </w:t>
      </w:r>
      <w:r>
        <w:rPr>
          <w:rFonts w:ascii="Times New Roman" w:hAnsi="Times New Roman" w:cs="Times New Roman"/>
        </w:rPr>
        <w:t>Rashodi koji se financiraju iz izvora financiranja opći prihodi i primici sastoje se od rashoda poslovanja (90,82%) i rashoda za nabavu nefinancijske imovine (9,18%).</w:t>
      </w:r>
      <w:r w:rsidR="00171C85">
        <w:rPr>
          <w:rFonts w:ascii="Times New Roman" w:hAnsi="Times New Roman" w:cs="Times New Roman"/>
        </w:rPr>
        <w:t xml:space="preserve"> </w:t>
      </w:r>
      <w:r w:rsidR="005043F5">
        <w:rPr>
          <w:rFonts w:ascii="Times New Roman" w:hAnsi="Times New Roman" w:cs="Times New Roman"/>
        </w:rPr>
        <w:t xml:space="preserve">Rashodi poslovanja sastoje se od rashoda za zaposlene, materijalnih i financijskih rashoda. </w:t>
      </w:r>
      <w:r w:rsidR="00171C85">
        <w:rPr>
          <w:rFonts w:ascii="Times New Roman" w:hAnsi="Times New Roman" w:cs="Times New Roman"/>
        </w:rPr>
        <w:t xml:space="preserve">Na rashode za zaposlene planira se u 2025. potrošiti 82,73% ukupnog financijskog plana. </w:t>
      </w:r>
      <w:r w:rsidR="0013046B">
        <w:rPr>
          <w:rFonts w:ascii="Times New Roman" w:hAnsi="Times New Roman" w:cs="Times New Roman"/>
        </w:rPr>
        <w:t>U prvo</w:t>
      </w:r>
      <w:r w:rsidR="002F53F5">
        <w:rPr>
          <w:rFonts w:ascii="Times New Roman" w:hAnsi="Times New Roman" w:cs="Times New Roman"/>
        </w:rPr>
        <w:t>m prijedlogu</w:t>
      </w:r>
      <w:r w:rsidR="0013046B">
        <w:rPr>
          <w:rFonts w:ascii="Times New Roman" w:hAnsi="Times New Roman" w:cs="Times New Roman"/>
        </w:rPr>
        <w:t xml:space="preserve"> </w:t>
      </w:r>
      <w:r w:rsidR="00AE24DF">
        <w:rPr>
          <w:rFonts w:ascii="Times New Roman" w:hAnsi="Times New Roman" w:cs="Times New Roman"/>
        </w:rPr>
        <w:t xml:space="preserve">financijskog plana </w:t>
      </w:r>
      <w:r w:rsidR="0013046B">
        <w:rPr>
          <w:rFonts w:ascii="Times New Roman" w:hAnsi="Times New Roman" w:cs="Times New Roman"/>
        </w:rPr>
        <w:t xml:space="preserve">planirano je više sredstava na </w:t>
      </w:r>
      <w:r w:rsidR="00D60DA3">
        <w:rPr>
          <w:rFonts w:ascii="Times New Roman" w:hAnsi="Times New Roman" w:cs="Times New Roman"/>
        </w:rPr>
        <w:t>navedenoj skupini</w:t>
      </w:r>
      <w:r w:rsidR="0013046B">
        <w:rPr>
          <w:rFonts w:ascii="Times New Roman" w:hAnsi="Times New Roman" w:cs="Times New Roman"/>
        </w:rPr>
        <w:t xml:space="preserve">, ali je nadležno ministarstvo odredilo limite </w:t>
      </w:r>
      <w:r w:rsidR="002F53F5">
        <w:rPr>
          <w:rFonts w:ascii="Times New Roman" w:hAnsi="Times New Roman" w:cs="Times New Roman"/>
        </w:rPr>
        <w:t xml:space="preserve">te </w:t>
      </w:r>
      <w:r w:rsidR="0013046B">
        <w:rPr>
          <w:rFonts w:ascii="Times New Roman" w:hAnsi="Times New Roman" w:cs="Times New Roman"/>
        </w:rPr>
        <w:t xml:space="preserve">smo </w:t>
      </w:r>
      <w:r w:rsidR="002F53F5">
        <w:rPr>
          <w:rFonts w:ascii="Times New Roman" w:hAnsi="Times New Roman" w:cs="Times New Roman"/>
        </w:rPr>
        <w:t>izradili plan rashoda i prihoda u skladu s istim</w:t>
      </w:r>
      <w:r w:rsidR="0013046B">
        <w:rPr>
          <w:rFonts w:ascii="Times New Roman" w:hAnsi="Times New Roman" w:cs="Times New Roman"/>
        </w:rPr>
        <w:t xml:space="preserve">. </w:t>
      </w:r>
      <w:r w:rsidR="00AE24DF">
        <w:rPr>
          <w:rFonts w:ascii="Times New Roman" w:hAnsi="Times New Roman" w:cs="Times New Roman"/>
        </w:rPr>
        <w:t>Nedostajat će</w:t>
      </w:r>
      <w:r w:rsidR="00D60DA3">
        <w:rPr>
          <w:rFonts w:ascii="Times New Roman" w:hAnsi="Times New Roman" w:cs="Times New Roman"/>
        </w:rPr>
        <w:t xml:space="preserve"> sudu</w:t>
      </w:r>
      <w:r w:rsidR="00AE24DF">
        <w:rPr>
          <w:rFonts w:ascii="Times New Roman" w:hAnsi="Times New Roman" w:cs="Times New Roman"/>
        </w:rPr>
        <w:t xml:space="preserve"> sredst</w:t>
      </w:r>
      <w:r w:rsidR="00D60DA3">
        <w:rPr>
          <w:rFonts w:ascii="Times New Roman" w:hAnsi="Times New Roman" w:cs="Times New Roman"/>
        </w:rPr>
        <w:t>a</w:t>
      </w:r>
      <w:r w:rsidR="00AE24DF">
        <w:rPr>
          <w:rFonts w:ascii="Times New Roman" w:hAnsi="Times New Roman" w:cs="Times New Roman"/>
        </w:rPr>
        <w:t>va na ovoj skupini.</w:t>
      </w:r>
    </w:p>
    <w:p w14:paraId="0FF3F954" w14:textId="77777777" w:rsidR="00AE24DF" w:rsidRDefault="00AE24DF" w:rsidP="00C124E5">
      <w:pPr>
        <w:jc w:val="both"/>
        <w:rPr>
          <w:rFonts w:ascii="Times New Roman" w:hAnsi="Times New Roman" w:cs="Times New Roman"/>
        </w:rPr>
      </w:pPr>
    </w:p>
    <w:p w14:paraId="187D27ED" w14:textId="63463DF9" w:rsidR="0076629E" w:rsidRDefault="00171C85" w:rsidP="00AE24D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Najznačajniji materijalni rashodi su rashodi za usluge</w:t>
      </w:r>
      <w:r w:rsidR="00AE24DF">
        <w:rPr>
          <w:rFonts w:ascii="Times New Roman" w:hAnsi="Times New Roman" w:cs="Times New Roman"/>
        </w:rPr>
        <w:t>, a na</w:t>
      </w:r>
      <w:r>
        <w:rPr>
          <w:rFonts w:ascii="Times New Roman" w:hAnsi="Times New Roman" w:cs="Times New Roman"/>
        </w:rPr>
        <w:t xml:space="preserve"> koje se planira potrošiti 3,96 % ukupno planiranih sredstava. </w:t>
      </w:r>
      <w:r w:rsidR="005043F5">
        <w:rPr>
          <w:rFonts w:ascii="Times New Roman" w:hAnsi="Times New Roman" w:cs="Times New Roman"/>
        </w:rPr>
        <w:t>Trgovački sud u Splitu u 2025. planira potrošiti sredstva za materijalne rashode na sljedeći način: za naknade troškova zaposlenima planiran je iznos  55.363,00 eura, rashodi za materijal i energiju u iznosu 50.106,00 eura, rashodi za usluge 105.917,00 eura i ostali nespomenute rashodi poslovanja 2.058,00 eura. Financijski rashodi našeg suda su neznatni, čine</w:t>
      </w:r>
      <w:r w:rsidR="00D60DA3">
        <w:rPr>
          <w:rFonts w:ascii="Times New Roman" w:hAnsi="Times New Roman" w:cs="Times New Roman"/>
        </w:rPr>
        <w:t xml:space="preserve"> 0,04 % ukupnog plana, a sastoje</w:t>
      </w:r>
      <w:r w:rsidR="005043F5">
        <w:rPr>
          <w:rFonts w:ascii="Times New Roman" w:hAnsi="Times New Roman" w:cs="Times New Roman"/>
        </w:rPr>
        <w:t xml:space="preserve"> se od kamata</w:t>
      </w:r>
      <w:r w:rsidR="00ED6238">
        <w:rPr>
          <w:rFonts w:ascii="Times New Roman" w:hAnsi="Times New Roman" w:cs="Times New Roman"/>
        </w:rPr>
        <w:t xml:space="preserve"> za primljene kredite i zajmove i ostalih financijskih rashoda.</w:t>
      </w:r>
      <w:r w:rsidR="005043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Sredstva za nabavu nefinancijske imovine u 2025. u iznosu 245.281,00 eura potrošit će se za nabavu </w:t>
      </w:r>
      <w:r w:rsidR="0014050D">
        <w:rPr>
          <w:rFonts w:ascii="Times New Roman" w:hAnsi="Times New Roman" w:cs="Times New Roman"/>
        </w:rPr>
        <w:t xml:space="preserve">uredske opreme i </w:t>
      </w:r>
      <w:r>
        <w:rPr>
          <w:rFonts w:ascii="Times New Roman" w:hAnsi="Times New Roman" w:cs="Times New Roman"/>
        </w:rPr>
        <w:t xml:space="preserve"> namještaja, </w:t>
      </w:r>
      <w:r w:rsidR="0014050D">
        <w:rPr>
          <w:rFonts w:ascii="Times New Roman" w:hAnsi="Times New Roman" w:cs="Times New Roman"/>
        </w:rPr>
        <w:t>otplatu</w:t>
      </w:r>
      <w:r w:rsidR="00EB74C5">
        <w:rPr>
          <w:rFonts w:ascii="Times New Roman" w:hAnsi="Times New Roman" w:cs="Times New Roman"/>
        </w:rPr>
        <w:t xml:space="preserve"> financijskog</w:t>
      </w:r>
      <w:r>
        <w:rPr>
          <w:rFonts w:ascii="Times New Roman" w:hAnsi="Times New Roman" w:cs="Times New Roman"/>
        </w:rPr>
        <w:t xml:space="preserve"> leasinga za službeno </w:t>
      </w:r>
      <w:r w:rsidR="0027562A" w:rsidRPr="0027562A">
        <w:rPr>
          <w:rFonts w:ascii="Times New Roman" w:hAnsi="Times New Roman" w:cs="Times New Roman"/>
        </w:rPr>
        <w:t>vozilo te zamjenu dijela</w:t>
      </w:r>
      <w:r w:rsidRPr="0027562A">
        <w:rPr>
          <w:rFonts w:ascii="Times New Roman" w:hAnsi="Times New Roman" w:cs="Times New Roman"/>
        </w:rPr>
        <w:t xml:space="preserve"> vanjske stolarije</w:t>
      </w:r>
      <w:r w:rsidR="00AE24DF">
        <w:rPr>
          <w:rFonts w:ascii="Times New Roman" w:hAnsi="Times New Roman" w:cs="Times New Roman"/>
        </w:rPr>
        <w:t>.</w:t>
      </w:r>
      <w:r w:rsidR="0014050D">
        <w:rPr>
          <w:rFonts w:ascii="Times New Roman" w:hAnsi="Times New Roman" w:cs="Times New Roman"/>
        </w:rPr>
        <w:t xml:space="preserve"> </w:t>
      </w:r>
      <w:r w:rsidR="0027562A">
        <w:rPr>
          <w:rFonts w:ascii="Times New Roman" w:hAnsi="Times New Roman" w:cs="Times New Roman"/>
        </w:rPr>
        <w:t xml:space="preserve">Zatražili smo sredstva na ovoj poziciji za obnovu fasada koji zahtjev nam je odbijen. </w:t>
      </w:r>
      <w:r w:rsidR="0014050D">
        <w:rPr>
          <w:rFonts w:ascii="Times New Roman" w:hAnsi="Times New Roman" w:cs="Times New Roman"/>
        </w:rPr>
        <w:t xml:space="preserve">Za materijalne rashode također su nam određeni limiti tako da prema našim procjenama nedostajat će nam sredstva na podskupini 322 radi ukidanja Uredbe Vlade RH o </w:t>
      </w:r>
      <w:r w:rsidR="00E14BEF">
        <w:rPr>
          <w:rFonts w:ascii="Times New Roman" w:hAnsi="Times New Roman" w:cs="Times New Roman"/>
        </w:rPr>
        <w:t>povoljnijim</w:t>
      </w:r>
      <w:r w:rsidR="0014050D">
        <w:rPr>
          <w:rFonts w:ascii="Times New Roman" w:hAnsi="Times New Roman" w:cs="Times New Roman"/>
        </w:rPr>
        <w:t xml:space="preserve"> cijenama električne energije i na podskupini 329 zbog toga što više ne možemo podmirivati iste iz vlastitih prihoda.</w:t>
      </w:r>
    </w:p>
    <w:p w14:paraId="3F768BAB" w14:textId="77777777" w:rsidR="004F5ACE" w:rsidRDefault="004F5ACE" w:rsidP="00C124E5">
      <w:pPr>
        <w:jc w:val="both"/>
        <w:rPr>
          <w:rFonts w:ascii="Times New Roman" w:hAnsi="Times New Roman" w:cs="Times New Roman"/>
        </w:rPr>
      </w:pPr>
    </w:p>
    <w:p w14:paraId="3CDC3B24" w14:textId="5040351F" w:rsidR="004F5ACE" w:rsidRDefault="00AE24DF" w:rsidP="00C124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Iz izvora financiranja 31 i 43  planiraju se podmiriti materijalni rashodi,</w:t>
      </w:r>
      <w:r w:rsidR="0014050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najznačajniji rashodi su oni koji se odnose na usluge tekućeg i investicijskog održavanj</w:t>
      </w:r>
      <w:r w:rsidR="001405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3A2FEF7B" w14:textId="77777777" w:rsidR="004F5ACE" w:rsidRDefault="004F5ACE" w:rsidP="00C124E5">
      <w:pPr>
        <w:jc w:val="both"/>
        <w:rPr>
          <w:rFonts w:ascii="Times New Roman" w:hAnsi="Times New Roman" w:cs="Times New Roman"/>
        </w:rPr>
      </w:pPr>
    </w:p>
    <w:p w14:paraId="5C032423" w14:textId="77777777" w:rsidR="004F5ACE" w:rsidRDefault="004F5ACE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prema funkcijskoj klasifikaciji</w:t>
      </w:r>
    </w:p>
    <w:p w14:paraId="7F8E467A" w14:textId="77777777" w:rsidR="004F5ACE" w:rsidRDefault="004F5ACE" w:rsidP="00C124E5">
      <w:pPr>
        <w:jc w:val="both"/>
        <w:rPr>
          <w:rFonts w:ascii="Times New Roman" w:hAnsi="Times New Roman" w:cs="Times New Roman"/>
        </w:rPr>
      </w:pPr>
    </w:p>
    <w:p w14:paraId="1032A884" w14:textId="77777777" w:rsidR="004F5ACE" w:rsidRDefault="004F5ACE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planiraju utrošiti na funkciju 03 – Javni red i sigurnost, 033 – sudovi.</w:t>
      </w:r>
    </w:p>
    <w:p w14:paraId="02777C8A" w14:textId="77777777" w:rsidR="004F5ACE" w:rsidRDefault="004F5ACE" w:rsidP="00C124E5">
      <w:pPr>
        <w:jc w:val="both"/>
        <w:rPr>
          <w:rFonts w:ascii="Times New Roman" w:hAnsi="Times New Roman" w:cs="Times New Roman"/>
        </w:rPr>
      </w:pPr>
    </w:p>
    <w:p w14:paraId="3CF17088" w14:textId="77777777" w:rsidR="004F5ACE" w:rsidRDefault="004F5ACE" w:rsidP="00C124E5">
      <w:pPr>
        <w:jc w:val="both"/>
        <w:rPr>
          <w:rFonts w:ascii="Times New Roman" w:hAnsi="Times New Roman" w:cs="Times New Roman"/>
        </w:rPr>
      </w:pPr>
    </w:p>
    <w:p w14:paraId="1576E64E" w14:textId="6E840B97" w:rsidR="004F5ACE" w:rsidRDefault="004F5ACE" w:rsidP="006B4E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</w:t>
      </w:r>
      <w:r w:rsidR="00EB74C5">
        <w:rPr>
          <w:rFonts w:ascii="Times New Roman" w:hAnsi="Times New Roman" w:cs="Times New Roman"/>
        </w:rPr>
        <w:t>ENOS SREDSTVA IZ PRETHODNE U SL</w:t>
      </w:r>
      <w:r>
        <w:rPr>
          <w:rFonts w:ascii="Times New Roman" w:hAnsi="Times New Roman" w:cs="Times New Roman"/>
        </w:rPr>
        <w:t>JEDEĆU GODINU</w:t>
      </w:r>
    </w:p>
    <w:p w14:paraId="0D6E011A" w14:textId="77777777" w:rsidR="004F5ACE" w:rsidRDefault="004F5ACE" w:rsidP="004F5ACE">
      <w:pPr>
        <w:jc w:val="both"/>
        <w:rPr>
          <w:rFonts w:ascii="Times New Roman" w:hAnsi="Times New Roman" w:cs="Times New Roman"/>
        </w:rPr>
      </w:pPr>
    </w:p>
    <w:p w14:paraId="502CEFDA" w14:textId="4434054C" w:rsidR="004F5ACE" w:rsidRDefault="004F5ACE" w:rsidP="00E7279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vlastitih</w:t>
      </w:r>
      <w:r w:rsidR="0016086E">
        <w:rPr>
          <w:rFonts w:ascii="Times New Roman" w:hAnsi="Times New Roman" w:cs="Times New Roman"/>
        </w:rPr>
        <w:t xml:space="preserve"> i namjenskih</w:t>
      </w:r>
      <w:r>
        <w:rPr>
          <w:rFonts w:ascii="Times New Roman" w:hAnsi="Times New Roman" w:cs="Times New Roman"/>
        </w:rPr>
        <w:t xml:space="preserve"> izvora financiranja</w:t>
      </w:r>
      <w:r w:rsidR="00307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financiraju iz prihoda koji se ostvare tijekom tekuće godine, ali i prenesenog stanja na računu („donos“). Krajem  godine </w:t>
      </w:r>
      <w:r w:rsidR="002F53F5">
        <w:rPr>
          <w:rFonts w:ascii="Times New Roman" w:hAnsi="Times New Roman" w:cs="Times New Roman"/>
        </w:rPr>
        <w:t xml:space="preserve">postoji </w:t>
      </w:r>
      <w:r w:rsidR="002F53F5" w:rsidRPr="004E624B">
        <w:rPr>
          <w:rFonts w:ascii="Times New Roman" w:hAnsi="Times New Roman" w:cs="Times New Roman"/>
        </w:rPr>
        <w:t>mogućnost</w:t>
      </w:r>
      <w:r w:rsidR="004E624B" w:rsidRPr="004E624B">
        <w:rPr>
          <w:rFonts w:ascii="Times New Roman" w:hAnsi="Times New Roman" w:cs="Times New Roman"/>
        </w:rPr>
        <w:t xml:space="preserve"> </w:t>
      </w:r>
      <w:r w:rsidR="004E624B" w:rsidRPr="00EB74C5">
        <w:rPr>
          <w:rFonts w:ascii="Times New Roman" w:hAnsi="Times New Roman" w:cs="Times New Roman"/>
        </w:rPr>
        <w:t xml:space="preserve">da ostane </w:t>
      </w:r>
      <w:r w:rsidRPr="004E624B">
        <w:rPr>
          <w:rFonts w:ascii="Times New Roman" w:hAnsi="Times New Roman" w:cs="Times New Roman"/>
        </w:rPr>
        <w:t>određeno</w:t>
      </w:r>
      <w:r>
        <w:rPr>
          <w:rFonts w:ascii="Times New Roman" w:hAnsi="Times New Roman" w:cs="Times New Roman"/>
        </w:rPr>
        <w:t xml:space="preserve"> stanje </w:t>
      </w:r>
      <w:r w:rsidR="00307CB5">
        <w:rPr>
          <w:rFonts w:ascii="Times New Roman" w:hAnsi="Times New Roman" w:cs="Times New Roman"/>
        </w:rPr>
        <w:t xml:space="preserve">neutrošenih sredstava na računu iz izvora financiranja 31 i 43 </w:t>
      </w:r>
      <w:r w:rsidR="00901256">
        <w:rPr>
          <w:rFonts w:ascii="Times New Roman" w:hAnsi="Times New Roman" w:cs="Times New Roman"/>
        </w:rPr>
        <w:t xml:space="preserve"> koje se prenosi u sl</w:t>
      </w:r>
      <w:r>
        <w:rPr>
          <w:rFonts w:ascii="Times New Roman" w:hAnsi="Times New Roman" w:cs="Times New Roman"/>
        </w:rPr>
        <w:t>jedeću  godinu („odnos“).</w:t>
      </w:r>
      <w:r w:rsidR="00307CB5">
        <w:rPr>
          <w:rFonts w:ascii="Times New Roman" w:hAnsi="Times New Roman" w:cs="Times New Roman"/>
        </w:rPr>
        <w:t xml:space="preserve"> „Donos“ i „odnos“ se unosi u riznicu na razini proračunske glave.</w:t>
      </w:r>
    </w:p>
    <w:p w14:paraId="66FA5AE1" w14:textId="77777777" w:rsidR="004F5ACE" w:rsidRDefault="004F5ACE" w:rsidP="004F5ACE">
      <w:pPr>
        <w:jc w:val="both"/>
        <w:rPr>
          <w:rFonts w:ascii="Times New Roman" w:hAnsi="Times New Roman" w:cs="Times New Roman"/>
        </w:rPr>
      </w:pPr>
    </w:p>
    <w:p w14:paraId="2D7D5E07" w14:textId="77777777" w:rsidR="004F5ACE" w:rsidRDefault="004F5ACE" w:rsidP="004F5ACE">
      <w:pPr>
        <w:jc w:val="both"/>
        <w:rPr>
          <w:rFonts w:ascii="Times New Roman" w:hAnsi="Times New Roman" w:cs="Times New Roman"/>
        </w:rPr>
      </w:pPr>
    </w:p>
    <w:p w14:paraId="3D8D08C9" w14:textId="77777777" w:rsidR="004F5ACE" w:rsidRDefault="004F5ACE" w:rsidP="006B4E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I DOSPJELE OBVEZE</w:t>
      </w:r>
    </w:p>
    <w:p w14:paraId="6696E37B" w14:textId="77777777" w:rsidR="004F5ACE" w:rsidRDefault="004F5ACE" w:rsidP="004F5ACE">
      <w:pPr>
        <w:jc w:val="both"/>
        <w:rPr>
          <w:rFonts w:ascii="Times New Roman" w:hAnsi="Times New Roman" w:cs="Times New Roman"/>
        </w:rPr>
      </w:pPr>
    </w:p>
    <w:p w14:paraId="6A11FFC7" w14:textId="71616E57" w:rsidR="004F5ACE" w:rsidRDefault="00AD798D" w:rsidP="00AD798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Trgovačkog suda u Splitu 1.</w:t>
      </w:r>
      <w:r w:rsidR="00B344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siječnja 2024. iznose 13.161.000,78 eura. Nedospjele obveze na 30.</w:t>
      </w:r>
      <w:r w:rsidR="00B344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lipnja 2024. iznose 14.039.574,65 eura.</w:t>
      </w:r>
    </w:p>
    <w:p w14:paraId="4F8E76FE" w14:textId="77777777" w:rsidR="004F5ACE" w:rsidRDefault="004F5ACE" w:rsidP="004F5ACE">
      <w:pPr>
        <w:jc w:val="both"/>
        <w:rPr>
          <w:rFonts w:ascii="Times New Roman" w:hAnsi="Times New Roman" w:cs="Times New Roman"/>
        </w:rPr>
      </w:pPr>
    </w:p>
    <w:p w14:paraId="2777D839" w14:textId="47FFB989" w:rsidR="004F5ACE" w:rsidRPr="00AD798D" w:rsidRDefault="004F5ACE" w:rsidP="00E7279C">
      <w:pPr>
        <w:ind w:firstLine="360"/>
        <w:jc w:val="both"/>
        <w:rPr>
          <w:rFonts w:ascii="Times New Roman" w:hAnsi="Times New Roman" w:cs="Times New Roman"/>
        </w:rPr>
      </w:pPr>
      <w:r w:rsidRPr="00AD798D">
        <w:rPr>
          <w:rFonts w:ascii="Times New Roman" w:hAnsi="Times New Roman" w:cs="Times New Roman"/>
        </w:rPr>
        <w:t>Nedospjele obveze</w:t>
      </w:r>
      <w:r w:rsidR="00AD798D">
        <w:rPr>
          <w:rFonts w:ascii="Times New Roman" w:hAnsi="Times New Roman" w:cs="Times New Roman"/>
        </w:rPr>
        <w:t xml:space="preserve"> </w:t>
      </w:r>
      <w:r w:rsidRPr="00AD798D">
        <w:rPr>
          <w:rFonts w:ascii="Times New Roman" w:hAnsi="Times New Roman" w:cs="Times New Roman"/>
        </w:rPr>
        <w:t xml:space="preserve"> najvećim dijelom odnose se na obveze za primljene predujmove koje se nalaze na depozitnom računu suda.</w:t>
      </w:r>
    </w:p>
    <w:p w14:paraId="3BAED667" w14:textId="77777777" w:rsidR="004F5ACE" w:rsidRPr="004E624B" w:rsidRDefault="004F5ACE" w:rsidP="004F5ACE">
      <w:pPr>
        <w:jc w:val="both"/>
        <w:rPr>
          <w:rFonts w:ascii="Times New Roman" w:hAnsi="Times New Roman" w:cs="Times New Roman"/>
          <w:highlight w:val="yellow"/>
        </w:rPr>
      </w:pPr>
    </w:p>
    <w:p w14:paraId="40D927C3" w14:textId="677897DB" w:rsidR="00493422" w:rsidRPr="00EB74C5" w:rsidRDefault="004F5ACE" w:rsidP="00EB74C5">
      <w:pPr>
        <w:ind w:firstLine="360"/>
        <w:jc w:val="both"/>
        <w:rPr>
          <w:rFonts w:ascii="Times New Roman" w:hAnsi="Times New Roman" w:cs="Times New Roman"/>
        </w:rPr>
      </w:pPr>
      <w:r w:rsidRPr="00EB74C5">
        <w:rPr>
          <w:rFonts w:ascii="Times New Roman" w:hAnsi="Times New Roman" w:cs="Times New Roman"/>
        </w:rPr>
        <w:t xml:space="preserve">Trgovački sud u Splitu zaključio je </w:t>
      </w:r>
      <w:r w:rsidR="00EB74C5" w:rsidRPr="00EB74C5">
        <w:rPr>
          <w:rFonts w:ascii="Times New Roman" w:hAnsi="Times New Roman" w:cs="Times New Roman"/>
        </w:rPr>
        <w:t xml:space="preserve">2021. </w:t>
      </w:r>
      <w:r w:rsidRPr="00EB74C5">
        <w:rPr>
          <w:rFonts w:ascii="Times New Roman" w:hAnsi="Times New Roman" w:cs="Times New Roman"/>
        </w:rPr>
        <w:t>Ugovor o financijskom leasingu automobila broj 10615</w:t>
      </w:r>
      <w:r w:rsidR="00EB74C5" w:rsidRPr="00EB74C5">
        <w:rPr>
          <w:rFonts w:ascii="Times New Roman" w:hAnsi="Times New Roman" w:cs="Times New Roman"/>
        </w:rPr>
        <w:t xml:space="preserve">18 s OTP Leasing d.d. iz Zagreba koji </w:t>
      </w:r>
      <w:r w:rsidR="00EB74C5">
        <w:rPr>
          <w:rFonts w:ascii="Times New Roman" w:hAnsi="Times New Roman" w:cs="Times New Roman"/>
        </w:rPr>
        <w:t xml:space="preserve">istječe u </w:t>
      </w:r>
      <w:r w:rsidR="00EB74C5" w:rsidRPr="00EB74C5">
        <w:rPr>
          <w:rFonts w:ascii="Times New Roman" w:hAnsi="Times New Roman" w:cs="Times New Roman"/>
        </w:rPr>
        <w:t xml:space="preserve"> rujn</w:t>
      </w:r>
      <w:r w:rsidR="00EB74C5">
        <w:rPr>
          <w:rFonts w:ascii="Times New Roman" w:hAnsi="Times New Roman" w:cs="Times New Roman"/>
        </w:rPr>
        <w:t>u</w:t>
      </w:r>
      <w:r w:rsidR="00EB74C5" w:rsidRPr="00EB74C5">
        <w:rPr>
          <w:rFonts w:ascii="Times New Roman" w:hAnsi="Times New Roman" w:cs="Times New Roman"/>
        </w:rPr>
        <w:t xml:space="preserve"> 2026.</w:t>
      </w:r>
    </w:p>
    <w:p w14:paraId="253528F2" w14:textId="77777777" w:rsidR="00EB74C5" w:rsidRPr="004E624B" w:rsidRDefault="00EB74C5" w:rsidP="00EB74C5">
      <w:pPr>
        <w:ind w:firstLine="360"/>
        <w:jc w:val="both"/>
        <w:rPr>
          <w:rFonts w:ascii="Times New Roman" w:hAnsi="Times New Roman" w:cs="Times New Roman"/>
          <w:highlight w:val="yellow"/>
        </w:rPr>
      </w:pPr>
    </w:p>
    <w:p w14:paraId="65D739B5" w14:textId="5F4D5D68" w:rsidR="00493422" w:rsidRDefault="00493422" w:rsidP="00E7279C">
      <w:pPr>
        <w:ind w:firstLine="360"/>
        <w:jc w:val="both"/>
        <w:rPr>
          <w:rFonts w:ascii="Times New Roman" w:hAnsi="Times New Roman" w:cs="Times New Roman"/>
        </w:rPr>
      </w:pPr>
      <w:r w:rsidRPr="00EB74C5">
        <w:rPr>
          <w:rFonts w:ascii="Times New Roman" w:hAnsi="Times New Roman" w:cs="Times New Roman"/>
        </w:rPr>
        <w:t>U financijskom planu za 2025.-202</w:t>
      </w:r>
      <w:r w:rsidR="00AD798D" w:rsidRPr="00EB74C5">
        <w:rPr>
          <w:rFonts w:ascii="Times New Roman" w:hAnsi="Times New Roman" w:cs="Times New Roman"/>
        </w:rPr>
        <w:t>6</w:t>
      </w:r>
      <w:r w:rsidRPr="00EB74C5">
        <w:rPr>
          <w:rFonts w:ascii="Times New Roman" w:hAnsi="Times New Roman" w:cs="Times New Roman"/>
        </w:rPr>
        <w:t>. godinu, vezano za nabavu osobnog automobila, planirali smo kako slijedi:</w:t>
      </w:r>
    </w:p>
    <w:p w14:paraId="0CCDB4BE" w14:textId="268D1D7A" w:rsidR="00493422" w:rsidRDefault="00493422" w:rsidP="004F5ACE">
      <w:pPr>
        <w:jc w:val="both"/>
        <w:rPr>
          <w:rFonts w:ascii="Times New Roman" w:hAnsi="Times New Roman" w:cs="Times New Roman"/>
        </w:rPr>
      </w:pPr>
    </w:p>
    <w:tbl>
      <w:tblPr>
        <w:tblW w:w="4500" w:type="dxa"/>
        <w:tblInd w:w="-5" w:type="dxa"/>
        <w:tblLook w:val="04A0" w:firstRow="1" w:lastRow="0" w:firstColumn="1" w:lastColumn="0" w:noHBand="0" w:noVBand="1"/>
      </w:tblPr>
      <w:tblGrid>
        <w:gridCol w:w="1060"/>
        <w:gridCol w:w="1120"/>
        <w:gridCol w:w="1120"/>
        <w:gridCol w:w="1200"/>
      </w:tblGrid>
      <w:tr w:rsidR="00AD798D" w:rsidRPr="00AD798D" w14:paraId="49DAA908" w14:textId="77777777" w:rsidTr="00AD798D">
        <w:trPr>
          <w:trHeight w:val="255"/>
        </w:trPr>
        <w:tc>
          <w:tcPr>
            <w:tcW w:w="10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4ACE727F" w14:textId="77777777" w:rsidR="00AD798D" w:rsidRPr="00AD798D" w:rsidRDefault="00AD798D" w:rsidP="00AD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1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D0B5E55" w14:textId="77777777" w:rsidR="00AD798D" w:rsidRPr="00AD798D" w:rsidRDefault="00AD798D" w:rsidP="00AD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Glavnica</w:t>
            </w:r>
          </w:p>
        </w:tc>
        <w:tc>
          <w:tcPr>
            <w:tcW w:w="11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82EC7CE" w14:textId="77777777" w:rsidR="00AD798D" w:rsidRPr="00AD798D" w:rsidRDefault="00AD798D" w:rsidP="00AD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Kamata</w:t>
            </w:r>
          </w:p>
        </w:tc>
        <w:tc>
          <w:tcPr>
            <w:tcW w:w="120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hideMark/>
          </w:tcPr>
          <w:p w14:paraId="65B41D73" w14:textId="77777777" w:rsidR="00AD798D" w:rsidRPr="00AD798D" w:rsidRDefault="00AD798D" w:rsidP="00AD7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AD798D" w:rsidRPr="00AD798D" w14:paraId="06272948" w14:textId="77777777" w:rsidTr="00AD79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4937318" w14:textId="77777777" w:rsidR="00AD798D" w:rsidRPr="00AD798D" w:rsidRDefault="00AD798D" w:rsidP="00AD798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7B33BBC" w14:textId="2DEDE53B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3.485,00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020750E0" w14:textId="6CA67E52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185,00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DB64FFA" w14:textId="7626A819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3.670,00</w:t>
            </w:r>
          </w:p>
        </w:tc>
      </w:tr>
      <w:tr w:rsidR="00AD798D" w:rsidRPr="00AD798D" w14:paraId="0771EDC8" w14:textId="77777777" w:rsidTr="00AD79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27675226" w14:textId="77777777" w:rsidR="00AD798D" w:rsidRPr="00AD798D" w:rsidRDefault="00AD798D" w:rsidP="00AD798D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 w:rsidRPr="00AD79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41C74EFA" w14:textId="69B4677B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2.708,00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162D9820" w14:textId="193C61D8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hideMark/>
          </w:tcPr>
          <w:p w14:paraId="6E31CC27" w14:textId="3C064993" w:rsidR="00AD798D" w:rsidRPr="00AD798D" w:rsidRDefault="00EB74C5" w:rsidP="00AD798D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hr-HR"/>
              </w:rPr>
              <w:t>2.753,00</w:t>
            </w:r>
          </w:p>
        </w:tc>
      </w:tr>
    </w:tbl>
    <w:p w14:paraId="0EB086D3" w14:textId="77777777" w:rsidR="00AD798D" w:rsidRDefault="00AD798D" w:rsidP="004F5ACE">
      <w:pPr>
        <w:jc w:val="both"/>
        <w:rPr>
          <w:rFonts w:ascii="Times New Roman" w:hAnsi="Times New Roman" w:cs="Times New Roman"/>
        </w:rPr>
      </w:pPr>
    </w:p>
    <w:p w14:paraId="4A9B8449" w14:textId="77777777" w:rsidR="00493422" w:rsidRDefault="00493422" w:rsidP="004F5ACE">
      <w:pPr>
        <w:jc w:val="both"/>
        <w:rPr>
          <w:rFonts w:ascii="Times New Roman" w:hAnsi="Times New Roman" w:cs="Times New Roman"/>
        </w:rPr>
      </w:pPr>
    </w:p>
    <w:p w14:paraId="4B2EC540" w14:textId="68756383" w:rsidR="00493422" w:rsidRDefault="00493422" w:rsidP="004F5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Splitu</w:t>
      </w:r>
      <w:r w:rsidR="00B344D2">
        <w:rPr>
          <w:rFonts w:ascii="Times New Roman" w:hAnsi="Times New Roman" w:cs="Times New Roman"/>
        </w:rPr>
        <w:t xml:space="preserve"> </w:t>
      </w:r>
      <w:r w:rsidR="001D561E">
        <w:rPr>
          <w:rFonts w:ascii="Times New Roman" w:hAnsi="Times New Roman" w:cs="Times New Roman"/>
        </w:rPr>
        <w:t>8</w:t>
      </w:r>
      <w:r w:rsidR="00B344D2">
        <w:rPr>
          <w:rFonts w:ascii="Times New Roman" w:hAnsi="Times New Roman" w:cs="Times New Roman"/>
        </w:rPr>
        <w:t xml:space="preserve">. studenog 2024. </w:t>
      </w:r>
    </w:p>
    <w:p w14:paraId="5C521532" w14:textId="77777777" w:rsidR="00493422" w:rsidRDefault="00493422" w:rsidP="004F5ACE">
      <w:pPr>
        <w:jc w:val="both"/>
        <w:rPr>
          <w:rFonts w:ascii="Times New Roman" w:hAnsi="Times New Roman" w:cs="Times New Roman"/>
        </w:rPr>
      </w:pPr>
    </w:p>
    <w:p w14:paraId="5403FD0C" w14:textId="77777777" w:rsidR="00493422" w:rsidRDefault="00493422" w:rsidP="00E727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SUDA</w:t>
      </w:r>
    </w:p>
    <w:p w14:paraId="380FA60D" w14:textId="77777777" w:rsidR="00493422" w:rsidRDefault="00493422" w:rsidP="00E7279C">
      <w:pPr>
        <w:jc w:val="right"/>
        <w:rPr>
          <w:rFonts w:ascii="Times New Roman" w:hAnsi="Times New Roman" w:cs="Times New Roman"/>
        </w:rPr>
      </w:pPr>
    </w:p>
    <w:p w14:paraId="4B6221C1" w14:textId="09A73B1A" w:rsidR="00493422" w:rsidRPr="004F5ACE" w:rsidRDefault="00B344D2" w:rsidP="00B34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493422">
        <w:rPr>
          <w:rFonts w:ascii="Times New Roman" w:hAnsi="Times New Roman" w:cs="Times New Roman"/>
        </w:rPr>
        <w:t>Ivan Čulić</w:t>
      </w:r>
    </w:p>
    <w:p w14:paraId="0EB5CB93" w14:textId="77777777" w:rsidR="00BB7069" w:rsidRPr="00BB7069" w:rsidRDefault="00BB7069" w:rsidP="00BB7069">
      <w:pPr>
        <w:jc w:val="both"/>
        <w:rPr>
          <w:rFonts w:ascii="Times New Roman" w:hAnsi="Times New Roman" w:cs="Times New Roman"/>
        </w:rPr>
      </w:pPr>
    </w:p>
    <w:sectPr w:rsidR="00BB7069" w:rsidRPr="00BB7069" w:rsidSect="0014050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9EA7" w14:textId="77777777" w:rsidR="000E32DE" w:rsidRDefault="000E32DE" w:rsidP="00E7279C">
      <w:r>
        <w:separator/>
      </w:r>
    </w:p>
  </w:endnote>
  <w:endnote w:type="continuationSeparator" w:id="0">
    <w:p w14:paraId="2CD40CBF" w14:textId="77777777" w:rsidR="000E32DE" w:rsidRDefault="000E32DE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481743"/>
      <w:docPartObj>
        <w:docPartGallery w:val="Page Numbers (Bottom of Page)"/>
        <w:docPartUnique/>
      </w:docPartObj>
    </w:sdtPr>
    <w:sdtEndPr/>
    <w:sdtContent>
      <w:p w14:paraId="401C0031" w14:textId="33C3AD90" w:rsidR="00E7279C" w:rsidRDefault="00E727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96">
          <w:rPr>
            <w:noProof/>
          </w:rPr>
          <w:t>1</w:t>
        </w:r>
        <w:r>
          <w:fldChar w:fldCharType="end"/>
        </w:r>
      </w:p>
    </w:sdtContent>
  </w:sdt>
  <w:p w14:paraId="0D403E62" w14:textId="77777777" w:rsidR="00E7279C" w:rsidRDefault="00E727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4FA8" w14:textId="77777777" w:rsidR="000E32DE" w:rsidRDefault="000E32DE" w:rsidP="00E7279C">
      <w:r>
        <w:separator/>
      </w:r>
    </w:p>
  </w:footnote>
  <w:footnote w:type="continuationSeparator" w:id="0">
    <w:p w14:paraId="4E663FE9" w14:textId="77777777" w:rsidR="000E32DE" w:rsidRDefault="000E32DE" w:rsidP="00E7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EF5"/>
    <w:multiLevelType w:val="hybridMultilevel"/>
    <w:tmpl w:val="46521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1469"/>
    <w:multiLevelType w:val="hybridMultilevel"/>
    <w:tmpl w:val="272E520A"/>
    <w:lvl w:ilvl="0" w:tplc="F3DAA5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71499"/>
    <w:multiLevelType w:val="hybridMultilevel"/>
    <w:tmpl w:val="071C0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7E"/>
    <w:rsid w:val="00077B0D"/>
    <w:rsid w:val="000E32DE"/>
    <w:rsid w:val="0011196F"/>
    <w:rsid w:val="0013046B"/>
    <w:rsid w:val="00134BEB"/>
    <w:rsid w:val="0014050D"/>
    <w:rsid w:val="0016086E"/>
    <w:rsid w:val="00171C85"/>
    <w:rsid w:val="00183437"/>
    <w:rsid w:val="001A525F"/>
    <w:rsid w:val="001D561E"/>
    <w:rsid w:val="0027562A"/>
    <w:rsid w:val="002C6152"/>
    <w:rsid w:val="002F53F5"/>
    <w:rsid w:val="00307CB5"/>
    <w:rsid w:val="00392692"/>
    <w:rsid w:val="003C7059"/>
    <w:rsid w:val="0042592B"/>
    <w:rsid w:val="00443C3F"/>
    <w:rsid w:val="00493422"/>
    <w:rsid w:val="004A4851"/>
    <w:rsid w:val="004E624B"/>
    <w:rsid w:val="004F1421"/>
    <w:rsid w:val="004F5ACE"/>
    <w:rsid w:val="005043F5"/>
    <w:rsid w:val="005C7E56"/>
    <w:rsid w:val="00691D13"/>
    <w:rsid w:val="00694A61"/>
    <w:rsid w:val="006B4EF9"/>
    <w:rsid w:val="006D3BED"/>
    <w:rsid w:val="006F24E4"/>
    <w:rsid w:val="0076629E"/>
    <w:rsid w:val="00782713"/>
    <w:rsid w:val="007F0696"/>
    <w:rsid w:val="007F6189"/>
    <w:rsid w:val="00901256"/>
    <w:rsid w:val="00910F7E"/>
    <w:rsid w:val="009A35D3"/>
    <w:rsid w:val="009A58B1"/>
    <w:rsid w:val="009C75A0"/>
    <w:rsid w:val="00A84830"/>
    <w:rsid w:val="00AD798D"/>
    <w:rsid w:val="00AE24DF"/>
    <w:rsid w:val="00AE643B"/>
    <w:rsid w:val="00B344D2"/>
    <w:rsid w:val="00B81FCD"/>
    <w:rsid w:val="00B82037"/>
    <w:rsid w:val="00BB7069"/>
    <w:rsid w:val="00C124E5"/>
    <w:rsid w:val="00C45A21"/>
    <w:rsid w:val="00C83895"/>
    <w:rsid w:val="00D60DA3"/>
    <w:rsid w:val="00D7604E"/>
    <w:rsid w:val="00D77469"/>
    <w:rsid w:val="00D908A8"/>
    <w:rsid w:val="00DD1079"/>
    <w:rsid w:val="00DE6A0A"/>
    <w:rsid w:val="00E14BEF"/>
    <w:rsid w:val="00E7279C"/>
    <w:rsid w:val="00EB74C5"/>
    <w:rsid w:val="00ED6238"/>
    <w:rsid w:val="00F32AD3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B631"/>
  <w15:chartTrackingRefBased/>
  <w15:docId w15:val="{98C1F229-6AEC-4974-B960-D49EB43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0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27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279C"/>
  </w:style>
  <w:style w:type="paragraph" w:styleId="Podnoje">
    <w:name w:val="footer"/>
    <w:basedOn w:val="Normal"/>
    <w:link w:val="PodnojeChar"/>
    <w:uiPriority w:val="99"/>
    <w:unhideWhenUsed/>
    <w:rsid w:val="00E727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279C"/>
  </w:style>
  <w:style w:type="paragraph" w:styleId="Bezproreda">
    <w:name w:val="No Spacing"/>
    <w:uiPriority w:val="1"/>
    <w:qFormat/>
    <w:rsid w:val="00AD798D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B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Kuić</dc:creator>
  <cp:keywords/>
  <dc:description/>
  <cp:lastModifiedBy>Kristina Tomaš</cp:lastModifiedBy>
  <cp:revision>2</cp:revision>
  <cp:lastPrinted>2024-11-08T07:41:00Z</cp:lastPrinted>
  <dcterms:created xsi:type="dcterms:W3CDTF">2024-11-08T14:02:00Z</dcterms:created>
  <dcterms:modified xsi:type="dcterms:W3CDTF">2024-11-08T14:02:00Z</dcterms:modified>
</cp:coreProperties>
</file>