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A5" w:rsidRDefault="00ED00A5" w:rsidP="00ED00A5">
      <w:pPr>
        <w:pStyle w:val="Naslov1"/>
        <w:rPr>
          <w:sz w:val="18"/>
          <w:szCs w:val="18"/>
        </w:rPr>
      </w:pPr>
      <w:r>
        <w:t xml:space="preserve">RAZDJEL: 109 MINISTARSTVO </w:t>
      </w:r>
      <w:r>
        <w:rPr>
          <w:sz w:val="18"/>
          <w:szCs w:val="18"/>
        </w:rPr>
        <w:t xml:space="preserve">PRAVOSUĐA I UPRAVE </w:t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RAZINA: 11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GLAVA: 80 OPĆINSKI SUDOVI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</w:t>
      </w:r>
      <w:r>
        <w:rPr>
          <w:b/>
          <w:bCs/>
          <w:i/>
          <w:iCs/>
          <w:sz w:val="18"/>
          <w:szCs w:val="18"/>
        </w:rPr>
        <w:tab/>
        <w:t xml:space="preserve">  </w:t>
      </w:r>
      <w:r>
        <w:rPr>
          <w:b/>
          <w:bCs/>
          <w:i/>
          <w:iCs/>
          <w:sz w:val="18"/>
          <w:szCs w:val="18"/>
        </w:rPr>
        <w:tab/>
        <w:t>RKDP : 04462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PRORAČUNSKI KORISNIK : OPĆINSKI SUD U ZLATARU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             Matični broj : 03100952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                             ZLATAR, TRG SLOBODE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bCs/>
            <w:i/>
            <w:iCs/>
            <w:sz w:val="18"/>
            <w:szCs w:val="18"/>
          </w:rPr>
          <w:t>14 A</w:t>
        </w:r>
      </w:smartTag>
      <w:r>
        <w:rPr>
          <w:b/>
          <w:bCs/>
          <w:i/>
          <w:iCs/>
          <w:sz w:val="18"/>
          <w:szCs w:val="18"/>
        </w:rPr>
        <w:t xml:space="preserve">                                      OIB :26566866925 </w:t>
      </w:r>
    </w:p>
    <w:p w:rsidR="00ED00A5" w:rsidRDefault="00ED00A5" w:rsidP="00ED00A5">
      <w:pPr>
        <w:ind w:left="5664" w:firstLine="708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Šifra djelatnosti  :8423</w:t>
      </w:r>
    </w:p>
    <w:p w:rsidR="00ED00A5" w:rsidRDefault="00ED00A5" w:rsidP="00ED00A5">
      <w:pPr>
        <w:ind w:left="5664" w:firstLine="708"/>
        <w:jc w:val="both"/>
        <w:rPr>
          <w:b/>
          <w:bCs/>
          <w:i/>
          <w:iCs/>
          <w:sz w:val="18"/>
          <w:szCs w:val="18"/>
        </w:rPr>
      </w:pPr>
    </w:p>
    <w:p w:rsidR="00ED00A5" w:rsidRDefault="00ED00A5" w:rsidP="00ED00A5">
      <w:pPr>
        <w:ind w:left="5664" w:firstLine="708"/>
        <w:jc w:val="both"/>
        <w:rPr>
          <w:b/>
          <w:bCs/>
          <w:i/>
          <w:iCs/>
          <w:sz w:val="18"/>
          <w:szCs w:val="18"/>
        </w:rPr>
      </w:pPr>
    </w:p>
    <w:p w:rsidR="00ED00A5" w:rsidRDefault="00ED00A5" w:rsidP="00ED00A5">
      <w:pPr>
        <w:ind w:left="5664" w:firstLine="708"/>
        <w:jc w:val="both"/>
        <w:rPr>
          <w:b/>
          <w:bCs/>
          <w:i/>
          <w:iCs/>
          <w:sz w:val="18"/>
          <w:szCs w:val="18"/>
        </w:rPr>
      </w:pPr>
    </w:p>
    <w:p w:rsidR="00ED00A5" w:rsidRDefault="00ED00A5" w:rsidP="00ED00A5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B  I  L  J  E  Š  K  E</w:t>
      </w:r>
    </w:p>
    <w:p w:rsidR="00ED00A5" w:rsidRDefault="00ED00A5" w:rsidP="00ED00A5">
      <w:pPr>
        <w:jc w:val="center"/>
        <w:rPr>
          <w:b/>
          <w:bCs/>
          <w:i/>
          <w:iCs/>
          <w:sz w:val="18"/>
          <w:szCs w:val="18"/>
        </w:rPr>
      </w:pPr>
    </w:p>
    <w:p w:rsidR="00ED00A5" w:rsidRDefault="001B3D0D" w:rsidP="001B3D0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uz financijske izvještaja za razdoblje 01.siječnja do 31. prosinca </w:t>
      </w:r>
      <w:r w:rsidR="00CE0649">
        <w:rPr>
          <w:b/>
          <w:bCs/>
          <w:i/>
          <w:iCs/>
          <w:sz w:val="18"/>
          <w:szCs w:val="18"/>
        </w:rPr>
        <w:t xml:space="preserve"> 202</w:t>
      </w:r>
      <w:r w:rsidR="00440E12">
        <w:rPr>
          <w:b/>
          <w:bCs/>
          <w:i/>
          <w:iCs/>
          <w:sz w:val="18"/>
          <w:szCs w:val="18"/>
        </w:rPr>
        <w:t>4</w:t>
      </w:r>
      <w:r>
        <w:rPr>
          <w:b/>
          <w:bCs/>
          <w:i/>
          <w:iCs/>
          <w:sz w:val="18"/>
          <w:szCs w:val="18"/>
        </w:rPr>
        <w:t>. godine</w:t>
      </w:r>
    </w:p>
    <w:p w:rsidR="00CE0649" w:rsidRDefault="00CE0649" w:rsidP="001B3D0D">
      <w:pPr>
        <w:jc w:val="center"/>
        <w:rPr>
          <w:b/>
          <w:bCs/>
          <w:i/>
          <w:iCs/>
          <w:sz w:val="18"/>
          <w:szCs w:val="18"/>
        </w:rPr>
      </w:pPr>
    </w:p>
    <w:p w:rsidR="00CE0649" w:rsidRDefault="00CE0649" w:rsidP="00ED00A5">
      <w:pPr>
        <w:jc w:val="both"/>
        <w:rPr>
          <w:b/>
          <w:bCs/>
          <w:i/>
          <w:iCs/>
          <w:sz w:val="18"/>
          <w:szCs w:val="18"/>
        </w:rPr>
      </w:pPr>
    </w:p>
    <w:p w:rsidR="00CE0649" w:rsidRDefault="00CE0649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Bilješka uz obrazac PR-RAS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</w:p>
    <w:p w:rsidR="00CE0649" w:rsidRDefault="00CE0649" w:rsidP="00ED00A5">
      <w:pPr>
        <w:jc w:val="both"/>
        <w:rPr>
          <w:b/>
          <w:bCs/>
          <w:i/>
          <w:iCs/>
          <w:sz w:val="18"/>
          <w:szCs w:val="18"/>
        </w:rPr>
      </w:pP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BILJEŠKA br. 1 – </w:t>
      </w:r>
      <w:r w:rsidR="001B3D0D">
        <w:rPr>
          <w:b/>
          <w:bCs/>
          <w:i/>
          <w:iCs/>
          <w:sz w:val="18"/>
          <w:szCs w:val="18"/>
        </w:rPr>
        <w:t xml:space="preserve"> šifra 6 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Indeks na poziciji pokazuje </w:t>
      </w:r>
      <w:r w:rsidR="001B3D0D">
        <w:rPr>
          <w:b/>
          <w:bCs/>
          <w:i/>
          <w:iCs/>
          <w:sz w:val="18"/>
          <w:szCs w:val="18"/>
        </w:rPr>
        <w:t xml:space="preserve"> trend rasta za </w:t>
      </w:r>
      <w:r w:rsidR="00000E5A">
        <w:rPr>
          <w:b/>
          <w:bCs/>
          <w:i/>
          <w:iCs/>
          <w:sz w:val="18"/>
          <w:szCs w:val="18"/>
        </w:rPr>
        <w:t>25,9</w:t>
      </w:r>
      <w:r w:rsidR="001B3D0D">
        <w:rPr>
          <w:b/>
          <w:bCs/>
          <w:i/>
          <w:iCs/>
          <w:sz w:val="18"/>
          <w:szCs w:val="18"/>
        </w:rPr>
        <w:t xml:space="preserve"> %. </w:t>
      </w:r>
      <w:r>
        <w:rPr>
          <w:b/>
          <w:bCs/>
          <w:i/>
          <w:iCs/>
          <w:sz w:val="18"/>
          <w:szCs w:val="18"/>
        </w:rPr>
        <w:t xml:space="preserve"> Izvršenje u potpunosti odgovara sa proračunskim prihodima, </w:t>
      </w:r>
      <w:r w:rsidR="00000E5A">
        <w:rPr>
          <w:b/>
          <w:bCs/>
          <w:i/>
          <w:iCs/>
          <w:sz w:val="18"/>
          <w:szCs w:val="18"/>
        </w:rPr>
        <w:t xml:space="preserve"> a vlastiti prihodi su također usklađeni. </w:t>
      </w:r>
      <w:r>
        <w:rPr>
          <w:b/>
          <w:bCs/>
          <w:i/>
          <w:iCs/>
          <w:sz w:val="18"/>
          <w:szCs w:val="18"/>
        </w:rPr>
        <w:t>Također ima prihoda po posebnim propisima  - ostali nespomenuti prihodi, objašnjeni</w:t>
      </w:r>
      <w:r w:rsidR="004E3FF2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u slijedećem AOP-u.</w:t>
      </w:r>
    </w:p>
    <w:p w:rsidR="00205AEB" w:rsidRDefault="00205AEB" w:rsidP="00ED00A5">
      <w:pPr>
        <w:jc w:val="both"/>
        <w:rPr>
          <w:b/>
          <w:bCs/>
          <w:i/>
          <w:iCs/>
          <w:sz w:val="18"/>
          <w:szCs w:val="18"/>
        </w:rPr>
      </w:pPr>
    </w:p>
    <w:p w:rsidR="00205AEB" w:rsidRDefault="00205AEB" w:rsidP="00205AEB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BILJEŠKA  br. 2 – šifra 6413 </w:t>
      </w:r>
    </w:p>
    <w:p w:rsidR="00205AEB" w:rsidRDefault="00205AEB" w:rsidP="00205AEB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Indeks ovog prihoda je visok jer se u ovoj godini prvi puta bilančno evidentira . Radi se o depozitnim kamatama koji su u godini ostvareni i uplaćeni u riznicu.   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</w:p>
    <w:p w:rsidR="00ED00A5" w:rsidRDefault="00ED00A5" w:rsidP="00ED00A5">
      <w:pPr>
        <w:pStyle w:val="Naslov1"/>
        <w:rPr>
          <w:sz w:val="18"/>
          <w:szCs w:val="18"/>
        </w:rPr>
      </w:pPr>
      <w:r>
        <w:rPr>
          <w:sz w:val="18"/>
          <w:szCs w:val="18"/>
        </w:rPr>
        <w:t xml:space="preserve">BILJEŠKA  br. </w:t>
      </w:r>
      <w:r w:rsidR="00205AEB">
        <w:rPr>
          <w:sz w:val="18"/>
          <w:szCs w:val="18"/>
        </w:rPr>
        <w:t>3</w:t>
      </w:r>
      <w:r>
        <w:rPr>
          <w:sz w:val="18"/>
          <w:szCs w:val="18"/>
        </w:rPr>
        <w:t xml:space="preserve"> – </w:t>
      </w:r>
      <w:r w:rsidR="001B3D0D">
        <w:rPr>
          <w:sz w:val="18"/>
          <w:szCs w:val="18"/>
        </w:rPr>
        <w:t>šifra 65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Iskazani prihodi na </w:t>
      </w:r>
      <w:r w:rsidR="001B3D0D">
        <w:rPr>
          <w:b/>
          <w:bCs/>
          <w:i/>
          <w:iCs/>
          <w:sz w:val="18"/>
          <w:szCs w:val="18"/>
        </w:rPr>
        <w:t>6526</w:t>
      </w:r>
      <w:r w:rsidR="00000E5A">
        <w:rPr>
          <w:b/>
          <w:bCs/>
          <w:i/>
          <w:iCs/>
          <w:sz w:val="18"/>
          <w:szCs w:val="18"/>
        </w:rPr>
        <w:t>9</w:t>
      </w:r>
      <w:r w:rsidR="001B3D0D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u iznosu od =</w:t>
      </w:r>
      <w:r w:rsidR="001B3D0D">
        <w:rPr>
          <w:b/>
          <w:bCs/>
          <w:i/>
          <w:iCs/>
          <w:sz w:val="18"/>
          <w:szCs w:val="18"/>
        </w:rPr>
        <w:t>10</w:t>
      </w:r>
      <w:r w:rsidR="00000E5A">
        <w:rPr>
          <w:b/>
          <w:bCs/>
          <w:i/>
          <w:iCs/>
          <w:sz w:val="18"/>
          <w:szCs w:val="18"/>
        </w:rPr>
        <w:t>6</w:t>
      </w:r>
      <w:r w:rsidR="001B3D0D">
        <w:rPr>
          <w:b/>
          <w:bCs/>
          <w:i/>
          <w:iCs/>
          <w:sz w:val="18"/>
          <w:szCs w:val="18"/>
        </w:rPr>
        <w:t>.</w:t>
      </w:r>
      <w:r w:rsidR="00000E5A">
        <w:rPr>
          <w:b/>
          <w:bCs/>
          <w:i/>
          <w:iCs/>
          <w:sz w:val="18"/>
          <w:szCs w:val="18"/>
        </w:rPr>
        <w:t>811</w:t>
      </w:r>
      <w:r w:rsidR="001B3D0D">
        <w:rPr>
          <w:b/>
          <w:bCs/>
          <w:i/>
          <w:iCs/>
          <w:sz w:val="18"/>
          <w:szCs w:val="18"/>
        </w:rPr>
        <w:t>,</w:t>
      </w:r>
      <w:r w:rsidR="00000E5A">
        <w:rPr>
          <w:b/>
          <w:bCs/>
          <w:i/>
          <w:iCs/>
          <w:sz w:val="18"/>
          <w:szCs w:val="18"/>
        </w:rPr>
        <w:t>24 eura</w:t>
      </w:r>
      <w:r w:rsidR="001B3D0D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su prihodi od očevida koji su isplaćeni kao plaće, stoga imaju u istom iznosu i rashodovnu stranu,  knji</w:t>
      </w:r>
      <w:r w:rsidR="001B3D0D">
        <w:rPr>
          <w:b/>
          <w:bCs/>
          <w:i/>
          <w:iCs/>
          <w:sz w:val="18"/>
          <w:szCs w:val="18"/>
        </w:rPr>
        <w:t xml:space="preserve">ženu  na kontu 3291. </w:t>
      </w:r>
      <w:r>
        <w:rPr>
          <w:b/>
          <w:bCs/>
          <w:i/>
          <w:iCs/>
          <w:sz w:val="18"/>
          <w:szCs w:val="18"/>
        </w:rPr>
        <w:t xml:space="preserve"> </w:t>
      </w:r>
      <w:r w:rsidR="00000E5A">
        <w:rPr>
          <w:b/>
          <w:bCs/>
          <w:i/>
          <w:iCs/>
          <w:sz w:val="18"/>
          <w:szCs w:val="18"/>
        </w:rPr>
        <w:t xml:space="preserve">Na kontu 65267 iskazani su prihodi s naslova osiguranja  odnosno  refundacije štete nakon prometne nesreće, koji su pokrili trošak popravka auta.  </w:t>
      </w:r>
      <w:r>
        <w:rPr>
          <w:b/>
          <w:bCs/>
          <w:i/>
          <w:iCs/>
          <w:sz w:val="18"/>
          <w:szCs w:val="18"/>
        </w:rPr>
        <w:t xml:space="preserve">Oni  povećavaju ukupne prihode kao što je vidljivo na </w:t>
      </w:r>
      <w:r w:rsidR="001B3D0D">
        <w:rPr>
          <w:b/>
          <w:bCs/>
          <w:i/>
          <w:iCs/>
          <w:sz w:val="18"/>
          <w:szCs w:val="18"/>
        </w:rPr>
        <w:t>š</w:t>
      </w:r>
      <w:r w:rsidR="00CE1FBA">
        <w:rPr>
          <w:b/>
          <w:bCs/>
          <w:i/>
          <w:iCs/>
          <w:sz w:val="18"/>
          <w:szCs w:val="18"/>
        </w:rPr>
        <w:t>i</w:t>
      </w:r>
      <w:r w:rsidR="001B3D0D">
        <w:rPr>
          <w:b/>
          <w:bCs/>
          <w:i/>
          <w:iCs/>
          <w:sz w:val="18"/>
          <w:szCs w:val="18"/>
        </w:rPr>
        <w:t>fri 6</w:t>
      </w:r>
      <w:r>
        <w:rPr>
          <w:b/>
          <w:bCs/>
          <w:i/>
          <w:iCs/>
          <w:sz w:val="18"/>
          <w:szCs w:val="18"/>
        </w:rPr>
        <w:t>, ali i ukupne rashode –</w:t>
      </w:r>
      <w:r w:rsidR="001B3D0D">
        <w:rPr>
          <w:b/>
          <w:bCs/>
          <w:i/>
          <w:iCs/>
          <w:sz w:val="18"/>
          <w:szCs w:val="18"/>
        </w:rPr>
        <w:t xml:space="preserve"> šifra 3</w:t>
      </w:r>
      <w:r>
        <w:rPr>
          <w:b/>
          <w:bCs/>
          <w:i/>
          <w:iCs/>
          <w:sz w:val="18"/>
          <w:szCs w:val="18"/>
        </w:rPr>
        <w:t>.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BILJEŠKA br. 4 - </w:t>
      </w:r>
      <w:r w:rsidR="00CE1FBA">
        <w:rPr>
          <w:b/>
          <w:bCs/>
          <w:i/>
          <w:iCs/>
          <w:sz w:val="18"/>
          <w:szCs w:val="18"/>
        </w:rPr>
        <w:t xml:space="preserve"> šifra 32</w:t>
      </w:r>
      <w:r w:rsidR="00074103">
        <w:rPr>
          <w:b/>
          <w:bCs/>
          <w:i/>
          <w:iCs/>
          <w:sz w:val="18"/>
          <w:szCs w:val="18"/>
        </w:rPr>
        <w:t>11 i 3213</w:t>
      </w:r>
      <w:r w:rsidR="00CE1FBA">
        <w:rPr>
          <w:b/>
          <w:bCs/>
          <w:i/>
          <w:iCs/>
          <w:sz w:val="18"/>
          <w:szCs w:val="18"/>
        </w:rPr>
        <w:t xml:space="preserve"> </w:t>
      </w:r>
    </w:p>
    <w:p w:rsidR="00CE1FBA" w:rsidRDefault="00CE1FBA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Indeks pokazuje  rast sukladno </w:t>
      </w:r>
      <w:r w:rsidR="00074103">
        <w:rPr>
          <w:b/>
          <w:bCs/>
          <w:i/>
          <w:iCs/>
          <w:sz w:val="18"/>
          <w:szCs w:val="18"/>
        </w:rPr>
        <w:t xml:space="preserve">navedenih rashoda  koji su u prethodnim godinama smanjeni zbog </w:t>
      </w:r>
      <w:proofErr w:type="spellStart"/>
      <w:r w:rsidR="00074103">
        <w:rPr>
          <w:b/>
          <w:bCs/>
          <w:i/>
          <w:iCs/>
          <w:sz w:val="18"/>
          <w:szCs w:val="18"/>
        </w:rPr>
        <w:t>covid</w:t>
      </w:r>
      <w:proofErr w:type="spellEnd"/>
      <w:r w:rsidR="00074103">
        <w:rPr>
          <w:b/>
          <w:bCs/>
          <w:i/>
          <w:iCs/>
          <w:sz w:val="18"/>
          <w:szCs w:val="18"/>
        </w:rPr>
        <w:t>-a, pa se sad vraćaju na svoj nivo.</w:t>
      </w:r>
      <w:r>
        <w:rPr>
          <w:b/>
          <w:bCs/>
          <w:i/>
          <w:iCs/>
          <w:sz w:val="18"/>
          <w:szCs w:val="18"/>
        </w:rPr>
        <w:t xml:space="preserve">. </w:t>
      </w:r>
    </w:p>
    <w:p w:rsidR="00CE1FBA" w:rsidRDefault="00CE1FBA" w:rsidP="00ED00A5">
      <w:pPr>
        <w:jc w:val="both"/>
        <w:rPr>
          <w:b/>
          <w:bCs/>
          <w:i/>
          <w:iCs/>
          <w:sz w:val="18"/>
          <w:szCs w:val="18"/>
        </w:rPr>
      </w:pPr>
    </w:p>
    <w:p w:rsidR="00CE1FBA" w:rsidRDefault="00CE1FBA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BILJEŠKA br. 5 – šifra 32</w:t>
      </w:r>
      <w:r w:rsidR="00074103">
        <w:rPr>
          <w:b/>
          <w:bCs/>
          <w:i/>
          <w:iCs/>
          <w:sz w:val="18"/>
          <w:szCs w:val="18"/>
        </w:rPr>
        <w:t>25</w:t>
      </w:r>
    </w:p>
    <w:p w:rsidR="00CE1FBA" w:rsidRDefault="00074103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Troškovi sitnog inventara uvećani su zbog opremanja stalnih službi nekom novom opremom ( npr. Za priručne kuhinje, usisavači i sl. ) nakon energetske obnove i većih kapitalnih ulaganja. </w:t>
      </w:r>
      <w:r w:rsidR="00CE1FBA">
        <w:rPr>
          <w:b/>
          <w:bCs/>
          <w:i/>
          <w:iCs/>
          <w:sz w:val="18"/>
          <w:szCs w:val="18"/>
        </w:rPr>
        <w:t xml:space="preserve"> </w:t>
      </w:r>
    </w:p>
    <w:p w:rsidR="001F5A3C" w:rsidRDefault="001F5A3C" w:rsidP="00ED00A5">
      <w:pPr>
        <w:jc w:val="both"/>
        <w:rPr>
          <w:b/>
          <w:bCs/>
          <w:i/>
          <w:iCs/>
          <w:sz w:val="18"/>
          <w:szCs w:val="18"/>
        </w:rPr>
      </w:pPr>
    </w:p>
    <w:p w:rsidR="00ED00A5" w:rsidRDefault="001F5A3C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BILJEŠKA br.6 – šifra 3</w:t>
      </w:r>
      <w:r w:rsidR="00074103">
        <w:rPr>
          <w:b/>
          <w:bCs/>
          <w:i/>
          <w:iCs/>
          <w:sz w:val="18"/>
          <w:szCs w:val="18"/>
        </w:rPr>
        <w:t>31</w:t>
      </w:r>
      <w:r w:rsidR="00ED00A5">
        <w:rPr>
          <w:b/>
          <w:bCs/>
          <w:i/>
          <w:iCs/>
          <w:sz w:val="18"/>
          <w:szCs w:val="18"/>
        </w:rPr>
        <w:t xml:space="preserve"> </w:t>
      </w:r>
    </w:p>
    <w:p w:rsidR="00ED00A5" w:rsidRDefault="00074103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Indeks troškova poštarine ima priličan rast zbog rasta cijena poštanskih usluga, a na obim </w:t>
      </w:r>
      <w:r w:rsidR="004E3FF2">
        <w:rPr>
          <w:b/>
          <w:bCs/>
          <w:i/>
          <w:iCs/>
          <w:sz w:val="18"/>
          <w:szCs w:val="18"/>
        </w:rPr>
        <w:t xml:space="preserve">iste </w:t>
      </w:r>
      <w:r>
        <w:rPr>
          <w:b/>
          <w:bCs/>
          <w:i/>
          <w:iCs/>
          <w:sz w:val="18"/>
          <w:szCs w:val="18"/>
        </w:rPr>
        <w:t xml:space="preserve">nemamo prevelikog utjecaja. </w:t>
      </w:r>
    </w:p>
    <w:p w:rsidR="00074103" w:rsidRDefault="00074103" w:rsidP="00ED00A5">
      <w:pPr>
        <w:jc w:val="both"/>
        <w:rPr>
          <w:b/>
          <w:bCs/>
          <w:i/>
          <w:iCs/>
          <w:sz w:val="18"/>
          <w:szCs w:val="18"/>
        </w:rPr>
      </w:pPr>
    </w:p>
    <w:p w:rsidR="00074103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BILJEŠKA br.</w:t>
      </w:r>
      <w:r w:rsidR="001F5A3C">
        <w:rPr>
          <w:b/>
          <w:bCs/>
          <w:i/>
          <w:iCs/>
          <w:sz w:val="18"/>
          <w:szCs w:val="18"/>
        </w:rPr>
        <w:t>7</w:t>
      </w:r>
      <w:r>
        <w:rPr>
          <w:b/>
          <w:bCs/>
          <w:i/>
          <w:iCs/>
          <w:sz w:val="18"/>
          <w:szCs w:val="18"/>
        </w:rPr>
        <w:t xml:space="preserve"> – </w:t>
      </w:r>
      <w:r w:rsidR="001F5A3C">
        <w:rPr>
          <w:b/>
          <w:bCs/>
          <w:i/>
          <w:iCs/>
          <w:sz w:val="18"/>
          <w:szCs w:val="18"/>
        </w:rPr>
        <w:t xml:space="preserve">šifra </w:t>
      </w:r>
      <w:r w:rsidR="00074103">
        <w:rPr>
          <w:b/>
          <w:bCs/>
          <w:i/>
          <w:iCs/>
          <w:sz w:val="18"/>
          <w:szCs w:val="18"/>
        </w:rPr>
        <w:t xml:space="preserve">3236 i 3237 </w:t>
      </w:r>
    </w:p>
    <w:p w:rsidR="00074103" w:rsidRDefault="00074103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Indeks troškova zdravstvenih usluga je uvećan, budući je priznato pravo na sistematske preglede  i svim pravosudnim dužnosnicima, koji su u proračunskoj godini obavili sistematske preglede uz već predviđeni i planirani broj službenika i namještenika. Što se tiče indeksa intelektualnih usluga, on je u konstantnom rastu, posebice usluge prijevoda zbog povećanog broja kriminaliteta stranih osoba. </w:t>
      </w:r>
    </w:p>
    <w:p w:rsidR="00074103" w:rsidRDefault="00074103" w:rsidP="00ED00A5">
      <w:pPr>
        <w:jc w:val="both"/>
        <w:rPr>
          <w:b/>
          <w:bCs/>
          <w:i/>
          <w:iCs/>
          <w:sz w:val="18"/>
          <w:szCs w:val="18"/>
        </w:rPr>
      </w:pPr>
    </w:p>
    <w:p w:rsidR="00074103" w:rsidRDefault="00074103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BILJEŠKA br. </w:t>
      </w:r>
      <w:r w:rsidR="002E34CB">
        <w:rPr>
          <w:b/>
          <w:bCs/>
          <w:i/>
          <w:iCs/>
          <w:sz w:val="18"/>
          <w:szCs w:val="18"/>
        </w:rPr>
        <w:t>8</w:t>
      </w:r>
      <w:r>
        <w:rPr>
          <w:b/>
          <w:bCs/>
          <w:i/>
          <w:iCs/>
          <w:sz w:val="18"/>
          <w:szCs w:val="18"/>
        </w:rPr>
        <w:t xml:space="preserve"> – šifra Z005 i</w:t>
      </w:r>
      <w:r w:rsidR="002E34CB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X</w:t>
      </w:r>
      <w:r w:rsidR="002E34CB">
        <w:rPr>
          <w:b/>
          <w:bCs/>
          <w:i/>
          <w:iCs/>
          <w:sz w:val="18"/>
          <w:szCs w:val="18"/>
        </w:rPr>
        <w:t>067</w:t>
      </w:r>
    </w:p>
    <w:p w:rsidR="002E34CB" w:rsidRDefault="002E34CB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Na navedenim šiframa jesu ukupni rashodi, kao i ukupni prihodi iz kojih je vidljivo da oba imaju trend porasta u pror</w:t>
      </w:r>
      <w:r w:rsidR="004E3FF2">
        <w:rPr>
          <w:b/>
          <w:bCs/>
          <w:i/>
          <w:iCs/>
          <w:sz w:val="18"/>
          <w:szCs w:val="18"/>
        </w:rPr>
        <w:t>a</w:t>
      </w:r>
      <w:r>
        <w:rPr>
          <w:b/>
          <w:bCs/>
          <w:i/>
          <w:iCs/>
          <w:sz w:val="18"/>
          <w:szCs w:val="18"/>
        </w:rPr>
        <w:t xml:space="preserve">čunskoj godini. Djelomično je razlog povećanje plaća, ali i ostalih navedenih troškova. </w:t>
      </w:r>
    </w:p>
    <w:p w:rsidR="002E34CB" w:rsidRDefault="002E34CB" w:rsidP="00ED00A5">
      <w:pPr>
        <w:jc w:val="both"/>
        <w:rPr>
          <w:b/>
          <w:bCs/>
          <w:i/>
          <w:iCs/>
          <w:sz w:val="18"/>
          <w:szCs w:val="18"/>
        </w:rPr>
      </w:pPr>
    </w:p>
    <w:p w:rsidR="00CC5B54" w:rsidRDefault="002E34CB" w:rsidP="00CC5B54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BILJEŠKA br.9</w:t>
      </w:r>
      <w:r w:rsidR="00CC5B54">
        <w:rPr>
          <w:b/>
          <w:bCs/>
          <w:i/>
          <w:iCs/>
          <w:sz w:val="18"/>
          <w:szCs w:val="18"/>
        </w:rPr>
        <w:t xml:space="preserve"> – šifra 11K </w:t>
      </w:r>
    </w:p>
    <w:p w:rsidR="00CC5B54" w:rsidRDefault="00CC5B54" w:rsidP="00CC5B54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Na ovoj stavci prikazana su novčana sredstva na redovnom, ali i na depozitnom računu po kojem postoji zaduženje na obvezama za  predujmove, na dan 31.12.202</w:t>
      </w:r>
      <w:r w:rsidR="002E34CB">
        <w:rPr>
          <w:b/>
          <w:bCs/>
          <w:i/>
          <w:iCs/>
          <w:sz w:val="18"/>
          <w:szCs w:val="18"/>
        </w:rPr>
        <w:t>4</w:t>
      </w:r>
      <w:r>
        <w:rPr>
          <w:b/>
          <w:bCs/>
          <w:i/>
          <w:iCs/>
          <w:sz w:val="18"/>
          <w:szCs w:val="18"/>
        </w:rPr>
        <w:t xml:space="preserve">. godine. Indeks ima blagi </w:t>
      </w:r>
      <w:r w:rsidR="002E34CB">
        <w:rPr>
          <w:b/>
          <w:bCs/>
          <w:i/>
          <w:iCs/>
          <w:sz w:val="18"/>
          <w:szCs w:val="18"/>
        </w:rPr>
        <w:t xml:space="preserve">pad, budući je izvršen povrat neutrošenih sredstava do 31.12.2024. godine.  Na računu je ostao samo novac za kapitalna ulaganja koji su plaćeni u 2025. godini sredstvima 2024. </w:t>
      </w:r>
    </w:p>
    <w:p w:rsidR="00CC5B54" w:rsidRDefault="00CC5B54" w:rsidP="00ED00A5">
      <w:pPr>
        <w:jc w:val="both"/>
        <w:rPr>
          <w:b/>
          <w:bCs/>
          <w:i/>
          <w:iCs/>
          <w:sz w:val="18"/>
          <w:szCs w:val="18"/>
        </w:rPr>
      </w:pP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BILJEŠKA br.</w:t>
      </w:r>
      <w:r w:rsidR="002A281B">
        <w:rPr>
          <w:b/>
          <w:bCs/>
          <w:i/>
          <w:iCs/>
          <w:sz w:val="18"/>
          <w:szCs w:val="18"/>
        </w:rPr>
        <w:t>9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Analitički dodatni podaci popunjeni su sukladno potrebama statistike. .    </w:t>
      </w: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Nikakvih posebnih odstupanja u izvještaju nema . Sud posluje sa stalnim službama na </w:t>
      </w:r>
      <w:r w:rsidR="002A281B">
        <w:rPr>
          <w:b/>
          <w:bCs/>
          <w:i/>
          <w:iCs/>
          <w:sz w:val="18"/>
          <w:szCs w:val="18"/>
        </w:rPr>
        <w:t>7</w:t>
      </w:r>
      <w:r>
        <w:rPr>
          <w:b/>
          <w:bCs/>
          <w:i/>
          <w:iCs/>
          <w:sz w:val="18"/>
          <w:szCs w:val="18"/>
        </w:rPr>
        <w:t xml:space="preserve"> lokacija u Županiji. </w:t>
      </w:r>
    </w:p>
    <w:p w:rsidR="00CE0649" w:rsidRDefault="00CE0649" w:rsidP="00ED00A5">
      <w:pPr>
        <w:jc w:val="both"/>
        <w:rPr>
          <w:b/>
          <w:bCs/>
          <w:i/>
          <w:iCs/>
          <w:sz w:val="18"/>
          <w:szCs w:val="18"/>
        </w:rPr>
      </w:pPr>
    </w:p>
    <w:p w:rsidR="00ED00A5" w:rsidRDefault="00ED00A5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ED00A5" w:rsidRDefault="00CE0649" w:rsidP="00ED00A5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 xml:space="preserve">Bilješke uz bilancu </w:t>
      </w:r>
    </w:p>
    <w:p w:rsidR="00ED00A5" w:rsidRPr="00C9548C" w:rsidRDefault="00ED00A5" w:rsidP="00ED00A5">
      <w:pPr>
        <w:tabs>
          <w:tab w:val="left" w:pos="3240"/>
        </w:tabs>
        <w:jc w:val="center"/>
        <w:rPr>
          <w:b/>
          <w:bCs/>
          <w:i/>
          <w:iCs/>
          <w:sz w:val="20"/>
          <w:szCs w:val="20"/>
        </w:rPr>
      </w:pP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 xml:space="preserve">BILJEŠKA br. </w:t>
      </w:r>
      <w:r>
        <w:rPr>
          <w:b/>
          <w:bCs/>
          <w:i/>
          <w:iCs/>
          <w:sz w:val="20"/>
          <w:szCs w:val="20"/>
        </w:rPr>
        <w:t>1</w:t>
      </w:r>
      <w:r w:rsidR="002A281B">
        <w:rPr>
          <w:b/>
          <w:bCs/>
          <w:i/>
          <w:iCs/>
          <w:sz w:val="20"/>
          <w:szCs w:val="20"/>
        </w:rPr>
        <w:t xml:space="preserve"> – šifra B001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>Na poziciji je iskazano</w:t>
      </w:r>
      <w:r w:rsidR="002A281B">
        <w:rPr>
          <w:b/>
          <w:bCs/>
          <w:i/>
          <w:iCs/>
          <w:sz w:val="20"/>
          <w:szCs w:val="20"/>
        </w:rPr>
        <w:t xml:space="preserve"> povećanje imovine za primljenu imovinu u proračunskoj godini i iz</w:t>
      </w:r>
      <w:r w:rsidR="00601182">
        <w:rPr>
          <w:b/>
          <w:bCs/>
          <w:i/>
          <w:iCs/>
          <w:sz w:val="20"/>
          <w:szCs w:val="20"/>
        </w:rPr>
        <w:t>v</w:t>
      </w:r>
      <w:r w:rsidR="002A281B">
        <w:rPr>
          <w:b/>
          <w:bCs/>
          <w:i/>
          <w:iCs/>
          <w:sz w:val="20"/>
          <w:szCs w:val="20"/>
        </w:rPr>
        <w:t xml:space="preserve">ršena dodatna ulaganja sukladno već objašnjenim podacima . 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</w:p>
    <w:p w:rsidR="00ED00A5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 xml:space="preserve">BILJEŠKA br. </w:t>
      </w:r>
      <w:r>
        <w:rPr>
          <w:b/>
          <w:bCs/>
          <w:i/>
          <w:iCs/>
          <w:sz w:val="20"/>
          <w:szCs w:val="20"/>
        </w:rPr>
        <w:t>2</w:t>
      </w:r>
      <w:r w:rsidRPr="00C9548C">
        <w:rPr>
          <w:b/>
          <w:bCs/>
          <w:i/>
          <w:iCs/>
          <w:sz w:val="20"/>
          <w:szCs w:val="20"/>
        </w:rPr>
        <w:t xml:space="preserve"> – </w:t>
      </w:r>
      <w:r w:rsidR="002A281B">
        <w:rPr>
          <w:b/>
          <w:bCs/>
          <w:i/>
          <w:iCs/>
          <w:sz w:val="20"/>
          <w:szCs w:val="20"/>
        </w:rPr>
        <w:t>šifre 12</w:t>
      </w:r>
      <w:r w:rsidR="002E34CB">
        <w:rPr>
          <w:b/>
          <w:bCs/>
          <w:i/>
          <w:iCs/>
          <w:sz w:val="20"/>
          <w:szCs w:val="20"/>
        </w:rPr>
        <w:t>4</w:t>
      </w:r>
      <w:r w:rsidR="002A281B">
        <w:rPr>
          <w:b/>
          <w:bCs/>
          <w:i/>
          <w:iCs/>
          <w:sz w:val="20"/>
          <w:szCs w:val="20"/>
        </w:rPr>
        <w:t xml:space="preserve"> </w:t>
      </w:r>
    </w:p>
    <w:p w:rsidR="002A281B" w:rsidRPr="00C9548C" w:rsidRDefault="002A281B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Indeksi pokazuju trend rasta</w:t>
      </w:r>
      <w:r w:rsidR="002E34CB">
        <w:rPr>
          <w:b/>
          <w:bCs/>
          <w:i/>
          <w:iCs/>
          <w:sz w:val="20"/>
          <w:szCs w:val="20"/>
        </w:rPr>
        <w:t xml:space="preserve"> potraživanja za isplatu poreza na dohodak po KOPP-u, a koji nije zatvoren u proračunskoj godini 2024. 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</w:p>
    <w:p w:rsidR="00ED00A5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>BILJEŠKA br.</w:t>
      </w:r>
      <w:r>
        <w:rPr>
          <w:b/>
          <w:bCs/>
          <w:i/>
          <w:iCs/>
          <w:sz w:val="20"/>
          <w:szCs w:val="20"/>
        </w:rPr>
        <w:t xml:space="preserve"> 3</w:t>
      </w:r>
      <w:r w:rsidRPr="00C9548C">
        <w:rPr>
          <w:b/>
          <w:bCs/>
          <w:i/>
          <w:iCs/>
          <w:sz w:val="20"/>
          <w:szCs w:val="20"/>
        </w:rPr>
        <w:t xml:space="preserve"> – </w:t>
      </w:r>
      <w:r w:rsidR="002A281B">
        <w:rPr>
          <w:b/>
          <w:bCs/>
          <w:i/>
          <w:iCs/>
          <w:sz w:val="20"/>
          <w:szCs w:val="20"/>
        </w:rPr>
        <w:t xml:space="preserve">šifra 16 </w:t>
      </w:r>
    </w:p>
    <w:p w:rsidR="00BF6742" w:rsidRDefault="00BF6742" w:rsidP="00BF6742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Na ovoj stavci prikazani su obračunati prihodi za sudske pristojbe, kazne i troškove postupka za prihode koji se uplaćuju u državni proračun, a čiju naplatu prati ovaj sud. Indeks pokazuje trend porasta.</w:t>
      </w:r>
    </w:p>
    <w:p w:rsidR="00BF6742" w:rsidRDefault="00BF6742" w:rsidP="00BF6742">
      <w:pPr>
        <w:jc w:val="both"/>
        <w:rPr>
          <w:b/>
          <w:bCs/>
          <w:i/>
          <w:iCs/>
          <w:sz w:val="20"/>
          <w:szCs w:val="20"/>
        </w:rPr>
      </w:pPr>
    </w:p>
    <w:p w:rsidR="002A281B" w:rsidRDefault="00BF6742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BILJEŠKA br. 4. – šifra 19,  i 193</w:t>
      </w:r>
    </w:p>
    <w:p w:rsidR="00BF6742" w:rsidRDefault="00BF6742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Iskazane stavke imaju indeks rasta, a radi se o razgraničenju za plaće – 193, koji je zbog povećanja plaća veći od lanjskog</w:t>
      </w:r>
      <w:r w:rsidR="000F6678">
        <w:rPr>
          <w:b/>
          <w:bCs/>
          <w:i/>
          <w:iCs/>
          <w:sz w:val="20"/>
          <w:szCs w:val="20"/>
        </w:rPr>
        <w:t xml:space="preserve">, zbog povećanja plaći. </w:t>
      </w:r>
      <w:r>
        <w:rPr>
          <w:b/>
          <w:bCs/>
          <w:i/>
          <w:iCs/>
          <w:sz w:val="20"/>
          <w:szCs w:val="20"/>
        </w:rPr>
        <w:t xml:space="preserve"> 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</w:p>
    <w:p w:rsidR="00ED00A5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 xml:space="preserve">BILJEŠKA br. </w:t>
      </w:r>
      <w:r>
        <w:rPr>
          <w:b/>
          <w:bCs/>
          <w:i/>
          <w:iCs/>
          <w:sz w:val="20"/>
          <w:szCs w:val="20"/>
        </w:rPr>
        <w:t>5</w:t>
      </w:r>
      <w:r w:rsidRPr="00C9548C">
        <w:rPr>
          <w:b/>
          <w:bCs/>
          <w:i/>
          <w:iCs/>
          <w:sz w:val="20"/>
          <w:szCs w:val="20"/>
        </w:rPr>
        <w:t xml:space="preserve">– </w:t>
      </w:r>
      <w:r w:rsidR="00BF6742">
        <w:rPr>
          <w:b/>
          <w:bCs/>
          <w:i/>
          <w:iCs/>
          <w:sz w:val="20"/>
          <w:szCs w:val="20"/>
        </w:rPr>
        <w:t>šifre 231,  i 234</w:t>
      </w:r>
    </w:p>
    <w:p w:rsidR="00BF6742" w:rsidRPr="00C9548C" w:rsidRDefault="00BF6742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Indeksi na obvezama za zaposlene  su povećani,</w:t>
      </w:r>
      <w:r w:rsidR="000F6678">
        <w:rPr>
          <w:b/>
          <w:bCs/>
          <w:i/>
          <w:iCs/>
          <w:sz w:val="20"/>
          <w:szCs w:val="20"/>
        </w:rPr>
        <w:t xml:space="preserve"> zbog rasta plaća. </w:t>
      </w:r>
      <w:r>
        <w:rPr>
          <w:b/>
          <w:bCs/>
          <w:i/>
          <w:iCs/>
          <w:sz w:val="20"/>
          <w:szCs w:val="20"/>
        </w:rPr>
        <w:t xml:space="preserve"> Obveze  za bankarske usluge su puno veće, kao i trošak zbog viših cijena usluga i povećanog opsega istih. </w:t>
      </w:r>
    </w:p>
    <w:p w:rsidR="00BF6742" w:rsidRDefault="00BF6742" w:rsidP="00ED00A5">
      <w:pPr>
        <w:jc w:val="both"/>
        <w:rPr>
          <w:b/>
          <w:bCs/>
          <w:i/>
          <w:iCs/>
          <w:sz w:val="20"/>
          <w:szCs w:val="20"/>
        </w:rPr>
      </w:pPr>
    </w:p>
    <w:p w:rsidR="00ED00A5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BILJEŠKA br. 6 </w:t>
      </w:r>
      <w:r w:rsidR="00BF6742">
        <w:rPr>
          <w:b/>
          <w:bCs/>
          <w:i/>
          <w:iCs/>
          <w:sz w:val="20"/>
          <w:szCs w:val="20"/>
        </w:rPr>
        <w:t xml:space="preserve">– šifra 92221 </w:t>
      </w:r>
    </w:p>
    <w:p w:rsidR="00BF6742" w:rsidRDefault="00BF6742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Konačni rezultat </w:t>
      </w:r>
      <w:r w:rsidR="00ED00A5">
        <w:rPr>
          <w:b/>
          <w:bCs/>
          <w:i/>
          <w:iCs/>
          <w:sz w:val="20"/>
          <w:szCs w:val="20"/>
        </w:rPr>
        <w:t xml:space="preserve"> proračunske godine</w:t>
      </w:r>
      <w:r>
        <w:rPr>
          <w:b/>
          <w:bCs/>
          <w:i/>
          <w:iCs/>
          <w:sz w:val="20"/>
          <w:szCs w:val="20"/>
        </w:rPr>
        <w:t xml:space="preserve"> je iskazani manjak prihoda, koji je veći od prošlogodišnjeg.</w:t>
      </w:r>
    </w:p>
    <w:p w:rsidR="00ED00A5" w:rsidRDefault="00BF6742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U proračunskoj godini bilo je puno dodatnih ulaganja i radova, koji su rezultirali i povećanim troškovima. </w:t>
      </w:r>
      <w:r w:rsidR="0043630F">
        <w:rPr>
          <w:b/>
          <w:bCs/>
          <w:i/>
          <w:iCs/>
          <w:sz w:val="20"/>
          <w:szCs w:val="20"/>
        </w:rPr>
        <w:t>Također je bio problem predvidjeti priljev troškova za prosinac, budu</w:t>
      </w:r>
      <w:r w:rsidR="004E3FF2">
        <w:rPr>
          <w:b/>
          <w:bCs/>
          <w:i/>
          <w:iCs/>
          <w:sz w:val="20"/>
          <w:szCs w:val="20"/>
        </w:rPr>
        <w:t xml:space="preserve">ći su računi stizali u siječnju, a </w:t>
      </w:r>
      <w:r w:rsidR="0043630F">
        <w:rPr>
          <w:b/>
          <w:bCs/>
          <w:i/>
          <w:iCs/>
          <w:sz w:val="20"/>
          <w:szCs w:val="20"/>
        </w:rPr>
        <w:t xml:space="preserve"> š</w:t>
      </w:r>
      <w:r w:rsidR="000F6678">
        <w:rPr>
          <w:b/>
          <w:bCs/>
          <w:i/>
          <w:iCs/>
          <w:sz w:val="20"/>
          <w:szCs w:val="20"/>
        </w:rPr>
        <w:t>to je razlog iskaz</w:t>
      </w:r>
      <w:r w:rsidR="004E3FF2">
        <w:rPr>
          <w:b/>
          <w:bCs/>
          <w:i/>
          <w:iCs/>
          <w:sz w:val="20"/>
          <w:szCs w:val="20"/>
        </w:rPr>
        <w:t>a</w:t>
      </w:r>
      <w:r w:rsidR="000F6678">
        <w:rPr>
          <w:b/>
          <w:bCs/>
          <w:i/>
          <w:iCs/>
          <w:sz w:val="20"/>
          <w:szCs w:val="20"/>
        </w:rPr>
        <w:t>nog rezultata</w:t>
      </w:r>
      <w:r w:rsidR="004E3FF2">
        <w:rPr>
          <w:b/>
          <w:bCs/>
          <w:i/>
          <w:iCs/>
          <w:sz w:val="20"/>
          <w:szCs w:val="20"/>
        </w:rPr>
        <w:t>. Primljeni n</w:t>
      </w:r>
      <w:r w:rsidR="000F6678">
        <w:rPr>
          <w:b/>
          <w:bCs/>
          <w:i/>
          <w:iCs/>
          <w:sz w:val="20"/>
          <w:szCs w:val="20"/>
        </w:rPr>
        <w:t>ovac je vraćen 31.12.2024.</w:t>
      </w:r>
      <w:r w:rsidR="004E3FF2">
        <w:rPr>
          <w:b/>
          <w:bCs/>
          <w:i/>
          <w:iCs/>
          <w:sz w:val="20"/>
          <w:szCs w:val="20"/>
        </w:rPr>
        <w:t xml:space="preserve">, </w:t>
      </w:r>
      <w:r w:rsidR="000F6678">
        <w:rPr>
          <w:b/>
          <w:bCs/>
          <w:i/>
          <w:iCs/>
          <w:sz w:val="20"/>
          <w:szCs w:val="20"/>
        </w:rPr>
        <w:t xml:space="preserve"> iako su obveze stizala cijeli siječanj. </w:t>
      </w:r>
      <w:r w:rsidR="0043630F">
        <w:rPr>
          <w:b/>
          <w:bCs/>
          <w:i/>
          <w:iCs/>
          <w:sz w:val="20"/>
          <w:szCs w:val="20"/>
        </w:rPr>
        <w:t xml:space="preserve"> Godina je inače bila izuzetno uspješna. </w:t>
      </w:r>
      <w:r w:rsidR="00ED00A5">
        <w:rPr>
          <w:b/>
          <w:bCs/>
          <w:i/>
          <w:iCs/>
          <w:sz w:val="20"/>
          <w:szCs w:val="20"/>
        </w:rPr>
        <w:t xml:space="preserve"> 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</w:p>
    <w:p w:rsidR="0043630F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 xml:space="preserve">BILJEŠKA br. </w:t>
      </w:r>
      <w:r>
        <w:rPr>
          <w:b/>
          <w:bCs/>
          <w:i/>
          <w:iCs/>
          <w:sz w:val="20"/>
          <w:szCs w:val="20"/>
        </w:rPr>
        <w:t>7</w:t>
      </w:r>
      <w:r w:rsidRPr="00C9548C">
        <w:rPr>
          <w:b/>
          <w:bCs/>
          <w:i/>
          <w:iCs/>
          <w:sz w:val="20"/>
          <w:szCs w:val="20"/>
        </w:rPr>
        <w:t xml:space="preserve"> – </w:t>
      </w:r>
      <w:r w:rsidR="0043630F">
        <w:rPr>
          <w:b/>
          <w:bCs/>
          <w:i/>
          <w:iCs/>
          <w:sz w:val="20"/>
          <w:szCs w:val="20"/>
        </w:rPr>
        <w:t>šifra 23D</w:t>
      </w:r>
    </w:p>
    <w:p w:rsidR="0043630F" w:rsidRDefault="0043630F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Indeks pokazuje manju zaduženost proračunskog korisnika po dospjelim obvezama. </w:t>
      </w:r>
    </w:p>
    <w:p w:rsidR="000F6678" w:rsidRDefault="000F6678" w:rsidP="00ED00A5">
      <w:pPr>
        <w:jc w:val="both"/>
        <w:rPr>
          <w:b/>
          <w:bCs/>
          <w:i/>
          <w:iCs/>
          <w:sz w:val="20"/>
          <w:szCs w:val="20"/>
        </w:rPr>
      </w:pPr>
    </w:p>
    <w:p w:rsidR="000F6678" w:rsidRDefault="000F6678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BILJEŠKA br. 8 – šifra 12921</w:t>
      </w:r>
    </w:p>
    <w:p w:rsidR="000F6678" w:rsidRDefault="000F6678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Indeks pokazuje porast potraživanja – radi se o potraživanju iz poslovn</w:t>
      </w:r>
      <w:r w:rsidR="001902E8">
        <w:rPr>
          <w:b/>
          <w:bCs/>
          <w:i/>
          <w:iCs/>
          <w:sz w:val="20"/>
          <w:szCs w:val="20"/>
        </w:rPr>
        <w:t>ih odnosa koja je u tijeku rješ</w:t>
      </w:r>
      <w:r>
        <w:rPr>
          <w:b/>
          <w:bCs/>
          <w:i/>
          <w:iCs/>
          <w:sz w:val="20"/>
          <w:szCs w:val="20"/>
        </w:rPr>
        <w:t xml:space="preserve">avanja, ali nije bila riješena do kraja godine. </w:t>
      </w:r>
      <w:r w:rsidR="001902E8">
        <w:rPr>
          <w:b/>
          <w:bCs/>
          <w:i/>
          <w:iCs/>
          <w:sz w:val="20"/>
          <w:szCs w:val="20"/>
        </w:rPr>
        <w:t xml:space="preserve">Naime, jedan odvjetnik iz sudskog spisa treba vratiti novac. </w:t>
      </w:r>
    </w:p>
    <w:p w:rsidR="0043630F" w:rsidRDefault="0043630F" w:rsidP="00ED00A5">
      <w:pPr>
        <w:jc w:val="both"/>
        <w:rPr>
          <w:b/>
          <w:bCs/>
          <w:i/>
          <w:iCs/>
          <w:sz w:val="20"/>
          <w:szCs w:val="20"/>
        </w:rPr>
      </w:pPr>
    </w:p>
    <w:p w:rsidR="00ED00A5" w:rsidRPr="00C9548C" w:rsidRDefault="0043630F" w:rsidP="00ED00A5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BILJEŠKA br</w:t>
      </w:r>
      <w:r w:rsidR="001902E8">
        <w:rPr>
          <w:b/>
          <w:bCs/>
          <w:i/>
          <w:iCs/>
          <w:sz w:val="20"/>
          <w:szCs w:val="20"/>
        </w:rPr>
        <w:t>.9</w:t>
      </w:r>
      <w:r>
        <w:rPr>
          <w:b/>
          <w:bCs/>
          <w:i/>
          <w:iCs/>
          <w:sz w:val="20"/>
          <w:szCs w:val="20"/>
        </w:rPr>
        <w:t xml:space="preserve"> – šifra 991</w:t>
      </w:r>
      <w:r w:rsidR="00ED00A5" w:rsidRPr="00C9548C">
        <w:rPr>
          <w:b/>
          <w:bCs/>
          <w:i/>
          <w:iCs/>
          <w:sz w:val="20"/>
          <w:szCs w:val="20"/>
        </w:rPr>
        <w:t xml:space="preserve">  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 xml:space="preserve">Iskazane vrijednosti na poziciji predstavljaju vrijednost tuđe imovine </w:t>
      </w:r>
      <w:r w:rsidR="0043630F">
        <w:rPr>
          <w:b/>
          <w:bCs/>
          <w:i/>
          <w:iCs/>
          <w:sz w:val="20"/>
          <w:szCs w:val="20"/>
        </w:rPr>
        <w:t>te primljene bankarske garancije za izvršene radove. Indeks poka</w:t>
      </w:r>
      <w:r w:rsidR="001902E8">
        <w:rPr>
          <w:b/>
          <w:bCs/>
          <w:i/>
          <w:iCs/>
          <w:sz w:val="20"/>
          <w:szCs w:val="20"/>
        </w:rPr>
        <w:t xml:space="preserve">zuje rast </w:t>
      </w:r>
      <w:proofErr w:type="spellStart"/>
      <w:r w:rsidR="001902E8">
        <w:rPr>
          <w:b/>
          <w:bCs/>
          <w:i/>
          <w:iCs/>
          <w:sz w:val="20"/>
          <w:szCs w:val="20"/>
        </w:rPr>
        <w:t>izvanbilančnih</w:t>
      </w:r>
      <w:proofErr w:type="spellEnd"/>
      <w:r w:rsidR="001902E8">
        <w:rPr>
          <w:b/>
          <w:bCs/>
          <w:i/>
          <w:iCs/>
          <w:sz w:val="20"/>
          <w:szCs w:val="20"/>
        </w:rPr>
        <w:t xml:space="preserve"> zapisa, budući</w:t>
      </w:r>
      <w:r w:rsidR="004E3FF2">
        <w:rPr>
          <w:b/>
          <w:bCs/>
          <w:i/>
          <w:iCs/>
          <w:sz w:val="20"/>
          <w:szCs w:val="20"/>
        </w:rPr>
        <w:t xml:space="preserve"> </w:t>
      </w:r>
      <w:r w:rsidR="001902E8">
        <w:rPr>
          <w:b/>
          <w:bCs/>
          <w:i/>
          <w:iCs/>
          <w:sz w:val="20"/>
          <w:szCs w:val="20"/>
        </w:rPr>
        <w:t xml:space="preserve"> je u proračunskoj godini izvršen još</w:t>
      </w:r>
      <w:r w:rsidR="004E3FF2">
        <w:rPr>
          <w:b/>
          <w:bCs/>
          <w:i/>
          <w:iCs/>
          <w:sz w:val="20"/>
          <w:szCs w:val="20"/>
        </w:rPr>
        <w:t xml:space="preserve"> dodatni </w:t>
      </w:r>
      <w:r w:rsidR="001902E8">
        <w:rPr>
          <w:b/>
          <w:bCs/>
          <w:i/>
          <w:iCs/>
          <w:sz w:val="20"/>
          <w:szCs w:val="20"/>
        </w:rPr>
        <w:t xml:space="preserve"> popis tuđe imovine. </w:t>
      </w:r>
    </w:p>
    <w:p w:rsidR="002A281B" w:rsidRPr="00C9548C" w:rsidRDefault="002A281B" w:rsidP="00ED00A5">
      <w:pPr>
        <w:jc w:val="both"/>
        <w:rPr>
          <w:b/>
          <w:bCs/>
          <w:i/>
          <w:iCs/>
          <w:sz w:val="20"/>
          <w:szCs w:val="20"/>
        </w:rPr>
      </w:pP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>BILJEŠKA  br.</w:t>
      </w:r>
      <w:r>
        <w:rPr>
          <w:b/>
          <w:bCs/>
          <w:i/>
          <w:iCs/>
          <w:sz w:val="20"/>
          <w:szCs w:val="20"/>
        </w:rPr>
        <w:t xml:space="preserve"> </w:t>
      </w:r>
      <w:r w:rsidR="001902E8">
        <w:rPr>
          <w:b/>
          <w:bCs/>
          <w:i/>
          <w:iCs/>
          <w:sz w:val="20"/>
          <w:szCs w:val="20"/>
        </w:rPr>
        <w:t>10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 xml:space="preserve">U analitičkim podacima  iskazano su svi traženi podaci, kao i obveze za predujmove i potraživanja za pristojbe.  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>Proračunski korisnik je ostvario vlastite prihode sukladno planu, te ih i planski potrošio</w:t>
      </w:r>
      <w:r w:rsidR="001902E8">
        <w:rPr>
          <w:b/>
          <w:bCs/>
          <w:i/>
          <w:iCs/>
          <w:sz w:val="20"/>
          <w:szCs w:val="20"/>
        </w:rPr>
        <w:t xml:space="preserve">, a dio prenosi. 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>Posebnih odstupanja nema, postoji  samo  potraživanje za vlastite prihode koji se uplaćuju u proračun,  čija je uplata izvršena krajem razdoblja, prihodi evidentirani, ali nisu iskorišteni u proračunskoj godini, već će se koristiti u slijedećoj u  iznosu =</w:t>
      </w:r>
      <w:r w:rsidR="001902E8">
        <w:rPr>
          <w:b/>
          <w:bCs/>
          <w:i/>
          <w:iCs/>
          <w:sz w:val="20"/>
          <w:szCs w:val="20"/>
        </w:rPr>
        <w:t xml:space="preserve">6.267,78 </w:t>
      </w:r>
      <w:r w:rsidR="0043630F">
        <w:rPr>
          <w:b/>
          <w:bCs/>
          <w:i/>
          <w:iCs/>
          <w:sz w:val="20"/>
          <w:szCs w:val="20"/>
        </w:rPr>
        <w:t xml:space="preserve"> EUR-a </w:t>
      </w:r>
      <w:r w:rsidRPr="00C9548C">
        <w:rPr>
          <w:b/>
          <w:bCs/>
          <w:i/>
          <w:iCs/>
          <w:sz w:val="20"/>
          <w:szCs w:val="20"/>
        </w:rPr>
        <w:t xml:space="preserve"> ( vidljivo na </w:t>
      </w:r>
      <w:r w:rsidR="0043630F">
        <w:rPr>
          <w:b/>
          <w:bCs/>
          <w:i/>
          <w:iCs/>
          <w:sz w:val="20"/>
          <w:szCs w:val="20"/>
        </w:rPr>
        <w:t>šifri 167</w:t>
      </w:r>
      <w:r>
        <w:rPr>
          <w:b/>
          <w:bCs/>
          <w:i/>
          <w:iCs/>
          <w:sz w:val="20"/>
          <w:szCs w:val="20"/>
        </w:rPr>
        <w:t xml:space="preserve"> </w:t>
      </w:r>
      <w:r w:rsidRPr="00C9548C">
        <w:rPr>
          <w:b/>
          <w:bCs/>
          <w:i/>
          <w:iCs/>
          <w:sz w:val="20"/>
          <w:szCs w:val="20"/>
        </w:rPr>
        <w:t xml:space="preserve">). 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>Moram još spomenuti pitanje sudskih sporova u tijeku, naime vodi se jedan sudski spor za smetanje posjeda.</w:t>
      </w:r>
    </w:p>
    <w:p w:rsidR="00ED00A5" w:rsidRPr="00C9548C" w:rsidRDefault="00ED00A5" w:rsidP="00ED00A5">
      <w:pPr>
        <w:jc w:val="both"/>
        <w:rPr>
          <w:b/>
          <w:bCs/>
          <w:i/>
          <w:iCs/>
          <w:sz w:val="20"/>
          <w:szCs w:val="20"/>
        </w:rPr>
      </w:pPr>
      <w:r w:rsidRPr="00C9548C">
        <w:rPr>
          <w:b/>
          <w:bCs/>
          <w:i/>
          <w:iCs/>
          <w:sz w:val="20"/>
          <w:szCs w:val="20"/>
        </w:rPr>
        <w:t>Zasad još nema nikakvih troškova, niti se očekuju u daljnjem tijeku, kao što nam nije poznato vrijeme završetka istog.</w:t>
      </w:r>
      <w:r>
        <w:rPr>
          <w:b/>
          <w:bCs/>
          <w:i/>
          <w:iCs/>
          <w:sz w:val="20"/>
          <w:szCs w:val="20"/>
        </w:rPr>
        <w:t xml:space="preserve"> </w:t>
      </w:r>
      <w:r w:rsidRPr="00C9548C">
        <w:rPr>
          <w:b/>
          <w:bCs/>
          <w:i/>
          <w:iCs/>
          <w:sz w:val="20"/>
          <w:szCs w:val="20"/>
        </w:rPr>
        <w:t>Sa istim je upoznato  Ministarstvo pravosuđa</w:t>
      </w:r>
      <w:r>
        <w:rPr>
          <w:b/>
          <w:bCs/>
          <w:i/>
          <w:iCs/>
          <w:sz w:val="20"/>
          <w:szCs w:val="20"/>
        </w:rPr>
        <w:t xml:space="preserve"> i uprave. </w:t>
      </w:r>
      <w:r w:rsidRPr="00C9548C">
        <w:rPr>
          <w:b/>
          <w:bCs/>
          <w:i/>
          <w:iCs/>
          <w:sz w:val="20"/>
          <w:szCs w:val="20"/>
        </w:rPr>
        <w:t xml:space="preserve"> </w:t>
      </w:r>
    </w:p>
    <w:p w:rsidR="0043630F" w:rsidRDefault="0043630F" w:rsidP="00ED00A5">
      <w:pPr>
        <w:jc w:val="both"/>
        <w:rPr>
          <w:b/>
          <w:bCs/>
          <w:i/>
          <w:iCs/>
          <w:sz w:val="20"/>
        </w:rPr>
      </w:pP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</w:p>
    <w:p w:rsidR="00ED00A5" w:rsidRDefault="00CE0649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Bilješke uz obrazac P-VRIO </w:t>
      </w:r>
      <w:r w:rsidR="00ED00A5">
        <w:rPr>
          <w:b/>
          <w:bCs/>
          <w:i/>
          <w:iCs/>
          <w:sz w:val="20"/>
        </w:rPr>
        <w:t xml:space="preserve">       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br.1 – šifra P018  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lastRenderedPageBreak/>
        <w:t>Na poziciji  je iskazano povećanje  i smanjenje imovine  sukladno promjenama tijekom godine. Povećanje   imovine odnosi se na primljenu imovinu  u proračunskoj godini od Ministarstva pravosuđa</w:t>
      </w:r>
      <w:r w:rsidR="001902E8">
        <w:rPr>
          <w:b/>
          <w:bCs/>
          <w:i/>
          <w:iCs/>
          <w:sz w:val="20"/>
        </w:rPr>
        <w:t>,</w:t>
      </w:r>
      <w:r>
        <w:rPr>
          <w:b/>
          <w:bCs/>
          <w:i/>
          <w:iCs/>
          <w:sz w:val="20"/>
        </w:rPr>
        <w:t xml:space="preserve"> uprave</w:t>
      </w:r>
      <w:r w:rsidR="001902E8">
        <w:rPr>
          <w:b/>
          <w:bCs/>
          <w:i/>
          <w:iCs/>
          <w:sz w:val="20"/>
        </w:rPr>
        <w:t xml:space="preserve"> i digitalnih transformacija </w:t>
      </w:r>
      <w:r>
        <w:rPr>
          <w:b/>
          <w:bCs/>
          <w:i/>
          <w:iCs/>
          <w:sz w:val="20"/>
        </w:rPr>
        <w:t xml:space="preserve">, a radi se o namještaju i informatičkoj opremi temeljem </w:t>
      </w:r>
      <w:r w:rsidR="004F5E4C">
        <w:rPr>
          <w:b/>
          <w:bCs/>
          <w:i/>
          <w:iCs/>
          <w:sz w:val="20"/>
        </w:rPr>
        <w:t>o</w:t>
      </w:r>
      <w:r>
        <w:rPr>
          <w:b/>
          <w:bCs/>
          <w:i/>
          <w:iCs/>
          <w:sz w:val="20"/>
        </w:rPr>
        <w:t xml:space="preserve">dluke o prijenosu iste proračunskim korisnicima. Smanjenje imovine odnosi se na  </w:t>
      </w:r>
      <w:proofErr w:type="spellStart"/>
      <w:r>
        <w:rPr>
          <w:b/>
          <w:bCs/>
          <w:i/>
          <w:iCs/>
          <w:sz w:val="20"/>
        </w:rPr>
        <w:t>isknjiženja</w:t>
      </w:r>
      <w:proofErr w:type="spellEnd"/>
      <w:r>
        <w:rPr>
          <w:b/>
          <w:bCs/>
          <w:i/>
          <w:iCs/>
          <w:sz w:val="20"/>
        </w:rPr>
        <w:t xml:space="preserve">   dugotrajne imovine  temeljem Odluke o rashodovanju i uništenju</w:t>
      </w:r>
      <w:r w:rsidR="004F5E4C">
        <w:rPr>
          <w:b/>
          <w:bCs/>
          <w:i/>
          <w:iCs/>
          <w:sz w:val="20"/>
        </w:rPr>
        <w:t xml:space="preserve"> imovine koja je neupotrebljiva,</w:t>
      </w:r>
      <w:r w:rsidR="001902E8">
        <w:rPr>
          <w:b/>
          <w:bCs/>
          <w:i/>
          <w:iCs/>
          <w:sz w:val="20"/>
        </w:rPr>
        <w:t xml:space="preserve"> a ima još sadašnju vrijednost posebno u zgradama koje su obnavljane.</w:t>
      </w:r>
      <w:r>
        <w:rPr>
          <w:b/>
          <w:bCs/>
          <w:i/>
          <w:iCs/>
          <w:sz w:val="20"/>
        </w:rPr>
        <w:t xml:space="preserve">                                                             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</w:t>
      </w:r>
    </w:p>
    <w:p w:rsidR="00ED00A5" w:rsidRDefault="00ED00A5" w:rsidP="0011349B"/>
    <w:p w:rsidR="00601182" w:rsidRDefault="00601182" w:rsidP="0011349B"/>
    <w:p w:rsidR="00ED00A5" w:rsidRDefault="00ED00A5" w:rsidP="00601182">
      <w:pPr>
        <w:pStyle w:val="Naslov1"/>
      </w:pPr>
      <w:r>
        <w:t xml:space="preserve"> </w:t>
      </w:r>
      <w:r w:rsidR="00CE0649">
        <w:t xml:space="preserve">Bilješke uz izvještaj o obvezama  </w:t>
      </w:r>
    </w:p>
    <w:p w:rsidR="00CE0649" w:rsidRPr="00CE0649" w:rsidRDefault="00CE0649" w:rsidP="00601182">
      <w:pPr>
        <w:jc w:val="both"/>
      </w:pPr>
    </w:p>
    <w:p w:rsidR="00ED00A5" w:rsidRDefault="00ED00A5" w:rsidP="00601182">
      <w:pPr>
        <w:jc w:val="both"/>
        <w:rPr>
          <w:b/>
          <w:bCs/>
          <w:i/>
          <w:iCs/>
          <w:sz w:val="20"/>
        </w:rPr>
      </w:pPr>
    </w:p>
    <w:p w:rsidR="00ED00A5" w:rsidRDefault="00ED00A5" w:rsidP="00601182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 1 – </w:t>
      </w:r>
      <w:r w:rsidR="004F5E4C">
        <w:rPr>
          <w:b/>
          <w:bCs/>
          <w:i/>
          <w:iCs/>
          <w:sz w:val="20"/>
        </w:rPr>
        <w:t>šifraV001</w:t>
      </w:r>
    </w:p>
    <w:p w:rsidR="00ED00A5" w:rsidRDefault="00ED00A5" w:rsidP="00601182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Početne obveze su jednake završnima, nema nikakvih odstupanja. </w:t>
      </w:r>
    </w:p>
    <w:p w:rsidR="00ED00A5" w:rsidRDefault="00ED00A5" w:rsidP="00601182">
      <w:pPr>
        <w:jc w:val="both"/>
        <w:rPr>
          <w:b/>
          <w:bCs/>
          <w:i/>
          <w:iCs/>
          <w:sz w:val="20"/>
        </w:rPr>
      </w:pPr>
    </w:p>
    <w:p w:rsidR="00ED00A5" w:rsidRDefault="00ED00A5" w:rsidP="00601182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br.2 </w:t>
      </w:r>
      <w:r w:rsidR="004F5E4C">
        <w:rPr>
          <w:b/>
          <w:bCs/>
          <w:i/>
          <w:iCs/>
          <w:sz w:val="20"/>
        </w:rPr>
        <w:t>–</w:t>
      </w:r>
      <w:r>
        <w:rPr>
          <w:b/>
          <w:bCs/>
          <w:i/>
          <w:iCs/>
          <w:sz w:val="20"/>
        </w:rPr>
        <w:t xml:space="preserve"> </w:t>
      </w:r>
      <w:r w:rsidR="004F5E4C">
        <w:rPr>
          <w:b/>
          <w:bCs/>
          <w:i/>
          <w:iCs/>
          <w:sz w:val="20"/>
        </w:rPr>
        <w:t xml:space="preserve">V003, V005 i V010  </w:t>
      </w:r>
    </w:p>
    <w:p w:rsidR="00ED00A5" w:rsidRDefault="00ED00A5" w:rsidP="00601182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Na poziciji  za međuproračunske obveze prikazana su obveze za bolovanja na teret HZZO-a, vještačenja    </w:t>
      </w:r>
      <w:r w:rsidR="001902E8">
        <w:rPr>
          <w:b/>
          <w:bCs/>
          <w:i/>
          <w:iCs/>
          <w:sz w:val="20"/>
        </w:rPr>
        <w:t>Kliničkih bolničkih centara</w:t>
      </w:r>
      <w:r>
        <w:rPr>
          <w:b/>
          <w:bCs/>
          <w:i/>
          <w:iCs/>
          <w:sz w:val="20"/>
        </w:rPr>
        <w:t xml:space="preserve">, te Kaznionice u Glini, </w:t>
      </w:r>
      <w:r w:rsidR="001902E8">
        <w:rPr>
          <w:b/>
          <w:bCs/>
          <w:i/>
          <w:iCs/>
          <w:sz w:val="20"/>
        </w:rPr>
        <w:t>MUP-a, s kojim dijelimo troško</w:t>
      </w:r>
      <w:r w:rsidR="004E3FF2">
        <w:rPr>
          <w:b/>
          <w:bCs/>
          <w:i/>
          <w:iCs/>
          <w:sz w:val="20"/>
        </w:rPr>
        <w:t xml:space="preserve">ve </w:t>
      </w:r>
      <w:r w:rsidR="001902E8">
        <w:rPr>
          <w:b/>
          <w:bCs/>
          <w:i/>
          <w:iCs/>
          <w:sz w:val="20"/>
        </w:rPr>
        <w:t xml:space="preserve"> u zgradi ,</w:t>
      </w:r>
      <w:r>
        <w:rPr>
          <w:b/>
          <w:bCs/>
          <w:i/>
          <w:iCs/>
          <w:sz w:val="20"/>
        </w:rPr>
        <w:t xml:space="preserve"> kao  i sličnih poslovnih partnera koji su upisani u Registar korisnika državnog proračuna,  primljenih u tekućoj godini prema dospijeću i naplati.</w:t>
      </w:r>
    </w:p>
    <w:p w:rsidR="00ED00A5" w:rsidRDefault="00ED00A5" w:rsidP="00601182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ED00A5" w:rsidRDefault="00ED00A5" w:rsidP="00601182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br.3 </w:t>
      </w:r>
      <w:r w:rsidR="004F5E4C">
        <w:rPr>
          <w:b/>
          <w:bCs/>
          <w:i/>
          <w:iCs/>
          <w:sz w:val="20"/>
        </w:rPr>
        <w:t>–</w:t>
      </w:r>
      <w:r>
        <w:rPr>
          <w:b/>
          <w:bCs/>
          <w:i/>
          <w:iCs/>
          <w:sz w:val="20"/>
        </w:rPr>
        <w:t xml:space="preserve"> </w:t>
      </w:r>
      <w:r w:rsidR="004F5E4C">
        <w:rPr>
          <w:b/>
          <w:bCs/>
          <w:i/>
          <w:iCs/>
          <w:sz w:val="20"/>
        </w:rPr>
        <w:t>šifra 239</w:t>
      </w:r>
      <w:r>
        <w:rPr>
          <w:b/>
          <w:bCs/>
          <w:i/>
          <w:iCs/>
          <w:sz w:val="20"/>
        </w:rPr>
        <w:t xml:space="preserve"> </w:t>
      </w:r>
    </w:p>
    <w:p w:rsidR="00ED00A5" w:rsidRDefault="00ED00A5" w:rsidP="00601182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Pozicija pokazuje godišnju uplatu predujmova, jamčevina i drugih uplata izvanproračunskog poslovanja, a obveze se vode kao nedospjele na </w:t>
      </w:r>
      <w:r w:rsidR="004F5E4C">
        <w:rPr>
          <w:b/>
          <w:bCs/>
          <w:i/>
          <w:iCs/>
          <w:sz w:val="20"/>
        </w:rPr>
        <w:t>šifri ND23</w:t>
      </w:r>
      <w:r>
        <w:rPr>
          <w:b/>
          <w:bCs/>
          <w:i/>
          <w:iCs/>
          <w:sz w:val="20"/>
        </w:rPr>
        <w:t xml:space="preserve">. Isto se vodi  analitički  i u posebnoj evidenciji po broju predmeta kao cjelokupno izvanproračunsko poslovanje. </w:t>
      </w:r>
    </w:p>
    <w:p w:rsidR="00ED00A5" w:rsidRDefault="00ED00A5" w:rsidP="00601182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ED00A5" w:rsidRDefault="00ED00A5" w:rsidP="00601182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br.4 – </w:t>
      </w:r>
      <w:r w:rsidR="004F5E4C">
        <w:rPr>
          <w:b/>
          <w:bCs/>
          <w:i/>
          <w:iCs/>
          <w:sz w:val="20"/>
        </w:rPr>
        <w:t>šifra 24</w:t>
      </w:r>
    </w:p>
    <w:p w:rsidR="00ED00A5" w:rsidRDefault="00ED00A5" w:rsidP="00601182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Obvez</w:t>
      </w:r>
      <w:r w:rsidR="00D42E98">
        <w:rPr>
          <w:b/>
          <w:bCs/>
          <w:i/>
          <w:iCs/>
          <w:sz w:val="20"/>
        </w:rPr>
        <w:t>e</w:t>
      </w:r>
      <w:r>
        <w:rPr>
          <w:b/>
          <w:bCs/>
          <w:i/>
          <w:iCs/>
          <w:sz w:val="20"/>
        </w:rPr>
        <w:t xml:space="preserve"> na spomenuto</w:t>
      </w:r>
      <w:r w:rsidR="00D42E98">
        <w:rPr>
          <w:b/>
          <w:bCs/>
          <w:i/>
          <w:iCs/>
          <w:sz w:val="20"/>
        </w:rPr>
        <w:t>j</w:t>
      </w:r>
      <w:r>
        <w:rPr>
          <w:b/>
          <w:bCs/>
          <w:i/>
          <w:iCs/>
          <w:sz w:val="20"/>
        </w:rPr>
        <w:t xml:space="preserve"> </w:t>
      </w:r>
      <w:r w:rsidR="004F5E4C">
        <w:rPr>
          <w:b/>
          <w:bCs/>
          <w:i/>
          <w:iCs/>
          <w:sz w:val="20"/>
        </w:rPr>
        <w:t>šifri jesu obveze za dodatna ulaganja u proračunskoj godini te nabavljenu nefinancijsku imovin</w:t>
      </w:r>
      <w:r w:rsidR="004E3FF2">
        <w:rPr>
          <w:b/>
          <w:bCs/>
          <w:i/>
          <w:iCs/>
          <w:sz w:val="20"/>
        </w:rPr>
        <w:t>u</w:t>
      </w:r>
      <w:bookmarkStart w:id="0" w:name="_GoBack"/>
      <w:bookmarkEnd w:id="0"/>
      <w:r w:rsidR="004F5E4C">
        <w:rPr>
          <w:b/>
          <w:bCs/>
          <w:i/>
          <w:iCs/>
          <w:sz w:val="20"/>
        </w:rPr>
        <w:t xml:space="preserve"> vlastitim  prihodima poslovanja, koji se ostvaruju kopiranje</w:t>
      </w:r>
      <w:r w:rsidR="00D42E98">
        <w:rPr>
          <w:b/>
          <w:bCs/>
          <w:i/>
          <w:iCs/>
          <w:sz w:val="20"/>
        </w:rPr>
        <w:t>m i zakupom poslovnog prostora.</w:t>
      </w:r>
    </w:p>
    <w:p w:rsidR="00ED00A5" w:rsidRDefault="00ED00A5" w:rsidP="00601182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ED00A5" w:rsidRDefault="00ED00A5" w:rsidP="00601182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br.5</w:t>
      </w:r>
    </w:p>
    <w:p w:rsidR="00ED00A5" w:rsidRDefault="00ED00A5" w:rsidP="00601182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 izvještaju nema nikakvih odstupanja, i rečeno je sve bitno za ovo izvješće. Vidljivo je smanjenje dospjelih   obveza na kraju razdoblja što pokazuje manju zaduž</w:t>
      </w:r>
      <w:r w:rsidR="001902E8">
        <w:rPr>
          <w:b/>
          <w:bCs/>
          <w:i/>
          <w:iCs/>
          <w:sz w:val="20"/>
        </w:rPr>
        <w:t>enost proračunskog korisnika.</w:t>
      </w:r>
    </w:p>
    <w:p w:rsidR="00ED00A5" w:rsidRDefault="00ED00A5" w:rsidP="00601182">
      <w:pPr>
        <w:jc w:val="both"/>
        <w:rPr>
          <w:b/>
          <w:bCs/>
          <w:i/>
          <w:iCs/>
          <w:sz w:val="20"/>
        </w:rPr>
      </w:pP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 Zlataru, </w:t>
      </w:r>
      <w:r w:rsidR="009C1EB2">
        <w:rPr>
          <w:b/>
          <w:bCs/>
          <w:i/>
          <w:iCs/>
          <w:sz w:val="20"/>
        </w:rPr>
        <w:t>30</w:t>
      </w:r>
      <w:r>
        <w:rPr>
          <w:b/>
          <w:bCs/>
          <w:i/>
          <w:iCs/>
          <w:sz w:val="20"/>
        </w:rPr>
        <w:t>. siječnja  202</w:t>
      </w:r>
      <w:r w:rsidR="00440E12">
        <w:rPr>
          <w:b/>
          <w:bCs/>
          <w:i/>
          <w:iCs/>
          <w:sz w:val="20"/>
        </w:rPr>
        <w:t>5</w:t>
      </w:r>
      <w:r>
        <w:rPr>
          <w:b/>
          <w:bCs/>
          <w:i/>
          <w:iCs/>
          <w:sz w:val="20"/>
        </w:rPr>
        <w:t xml:space="preserve">. godine       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Osoba za kontaktiranje : </w:t>
      </w:r>
      <w:smartTag w:uri="urn:schemas-microsoft-com:office:smarttags" w:element="PersonName">
        <w:smartTagPr>
          <w:attr w:name="ProductID" w:val="Ankica Sugnetić"/>
        </w:smartTagPr>
        <w:r>
          <w:rPr>
            <w:b/>
            <w:bCs/>
            <w:i/>
            <w:iCs/>
            <w:sz w:val="20"/>
          </w:rPr>
          <w:t>Ankica Sugnetić</w:t>
        </w:r>
      </w:smartTag>
      <w:r>
        <w:rPr>
          <w:b/>
          <w:bCs/>
          <w:i/>
          <w:iCs/>
          <w:sz w:val="20"/>
        </w:rPr>
        <w:t xml:space="preserve">                                                               Predsjednik suda                   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Tel.: 049/ 426 811,  426 816 .                                                               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 xml:space="preserve">       Vinko Vladić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     </w:t>
      </w:r>
    </w:p>
    <w:p w:rsidR="00ED00A5" w:rsidRDefault="00ED00A5" w:rsidP="00ED00A5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</w:t>
      </w:r>
    </w:p>
    <w:p w:rsidR="00ED00A5" w:rsidRPr="0011349B" w:rsidRDefault="00ED00A5" w:rsidP="0011349B"/>
    <w:sectPr w:rsidR="00ED00A5" w:rsidRPr="0011349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57"/>
    <w:rsid w:val="00000E5A"/>
    <w:rsid w:val="00074103"/>
    <w:rsid w:val="000F6678"/>
    <w:rsid w:val="0011349B"/>
    <w:rsid w:val="001902E8"/>
    <w:rsid w:val="001B3ADF"/>
    <w:rsid w:val="001B3D0D"/>
    <w:rsid w:val="001F5A3C"/>
    <w:rsid w:val="00205AEB"/>
    <w:rsid w:val="002A281B"/>
    <w:rsid w:val="002E34CB"/>
    <w:rsid w:val="0043630F"/>
    <w:rsid w:val="00440E12"/>
    <w:rsid w:val="004E3FF2"/>
    <w:rsid w:val="004F5E4C"/>
    <w:rsid w:val="005E28E6"/>
    <w:rsid w:val="00601182"/>
    <w:rsid w:val="0069689D"/>
    <w:rsid w:val="008E2957"/>
    <w:rsid w:val="009C1EB2"/>
    <w:rsid w:val="00BB403E"/>
    <w:rsid w:val="00BF6742"/>
    <w:rsid w:val="00CC5B54"/>
    <w:rsid w:val="00CE0649"/>
    <w:rsid w:val="00CE1FBA"/>
    <w:rsid w:val="00D42E98"/>
    <w:rsid w:val="00E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A02F06"/>
  <w15:chartTrackingRefBased/>
  <w15:docId w15:val="{CE3407BD-D6AE-443B-AEC6-E7F4871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E28E6"/>
    <w:pPr>
      <w:keepNext/>
      <w:jc w:val="both"/>
      <w:outlineLvl w:val="0"/>
    </w:pPr>
    <w:rPr>
      <w:b/>
      <w:bCs/>
      <w:i/>
      <w:iCs/>
      <w:sz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0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00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E28E6"/>
    <w:rPr>
      <w:rFonts w:ascii="Times New Roman" w:eastAsia="Times New Roman" w:hAnsi="Times New Roman" w:cs="Times New Roman"/>
      <w:b/>
      <w:bCs/>
      <w:i/>
      <w:iCs/>
      <w:sz w:val="20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00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00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E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E4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6</cp:revision>
  <cp:lastPrinted>2025-01-30T12:08:00Z</cp:lastPrinted>
  <dcterms:created xsi:type="dcterms:W3CDTF">2025-01-29T09:14:00Z</dcterms:created>
  <dcterms:modified xsi:type="dcterms:W3CDTF">2025-01-30T12:09:00Z</dcterms:modified>
</cp:coreProperties>
</file>