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2F" w:rsidRPr="00FF7E8C" w:rsidRDefault="00F178D8" w:rsidP="00F178D8">
      <w:pPr>
        <w:ind w:left="708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17 Su-</w:t>
      </w:r>
      <w:r w:rsidR="00B42EE7" w:rsidRPr="00FF7E8C">
        <w:rPr>
          <w:rFonts w:ascii="Arial" w:hAnsi="Arial" w:cs="Arial"/>
        </w:rPr>
        <w:t>132</w:t>
      </w:r>
      <w:r w:rsidR="009A5698" w:rsidRPr="00FF7E8C">
        <w:rPr>
          <w:rFonts w:ascii="Arial" w:hAnsi="Arial" w:cs="Arial"/>
        </w:rPr>
        <w:t>/2025</w:t>
      </w:r>
    </w:p>
    <w:p w:rsidR="003C712E" w:rsidRPr="00FF7E8C" w:rsidRDefault="003C712E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             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Razdjel: 109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Glava: 10980 </w:t>
      </w:r>
      <w:r w:rsidRPr="00FF7E8C">
        <w:rPr>
          <w:rFonts w:ascii="Arial" w:hAnsi="Arial" w:cs="Arial"/>
          <w:b/>
        </w:rPr>
        <w:t>OPĆINSKI SUD U METKOVIĆU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RKP: 50555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MB: 03107957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OIB: 46522572970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Andrije Hebranga 9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20350 Metković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Aktivnost: 6410006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Šifra djelatnosti: 8423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IBAN: HR84 2390 0011 1010 6058 8 – redovni račun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IBAN: HR79 2390 0011 3000 6859 4 – depozitni račun</w:t>
      </w:r>
    </w:p>
    <w:p w:rsidR="00F652B5" w:rsidRPr="00FF7E8C" w:rsidRDefault="00F652B5" w:rsidP="0004479E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Zakonski predstavnik: Marijana Zloić-Talajić, sutkinja - predsjednica suda</w:t>
      </w:r>
    </w:p>
    <w:p w:rsidR="003C712E" w:rsidRPr="00FF7E8C" w:rsidRDefault="003C712E" w:rsidP="0004479E">
      <w:pPr>
        <w:tabs>
          <w:tab w:val="left" w:pos="1764"/>
        </w:tabs>
        <w:jc w:val="both"/>
        <w:rPr>
          <w:rFonts w:ascii="Arial" w:hAnsi="Arial" w:cs="Arial"/>
        </w:rPr>
      </w:pPr>
    </w:p>
    <w:p w:rsidR="00F220D4" w:rsidRPr="00FF7E8C" w:rsidRDefault="00F220D4" w:rsidP="0004479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FF7E8C" w:rsidRDefault="003C712E" w:rsidP="0004479E">
      <w:pPr>
        <w:tabs>
          <w:tab w:val="left" w:pos="1764"/>
        </w:tabs>
        <w:jc w:val="both"/>
        <w:rPr>
          <w:rFonts w:ascii="Arial" w:hAnsi="Arial" w:cs="Arial"/>
        </w:rPr>
      </w:pPr>
    </w:p>
    <w:p w:rsidR="00744062" w:rsidRPr="00FF7E8C" w:rsidRDefault="00744062" w:rsidP="00744062">
      <w:pPr>
        <w:jc w:val="center"/>
        <w:rPr>
          <w:rFonts w:ascii="Arial" w:hAnsi="Arial" w:cs="Arial"/>
          <w:b/>
          <w:sz w:val="28"/>
        </w:rPr>
      </w:pPr>
      <w:r w:rsidRPr="00FF7E8C">
        <w:rPr>
          <w:rFonts w:ascii="Arial" w:hAnsi="Arial" w:cs="Arial"/>
          <w:b/>
          <w:sz w:val="28"/>
        </w:rPr>
        <w:t>OBRAZLOŽENJE OPĆEG DIJELA GODIŠNJEG IZVJEŠTAJA O IZVRŠENJU FINACIJSKOG PLANA 2024.</w:t>
      </w:r>
    </w:p>
    <w:p w:rsidR="00B42EE7" w:rsidRPr="00FF7E8C" w:rsidRDefault="00B42EE7" w:rsidP="00B42EE7">
      <w:pPr>
        <w:jc w:val="center"/>
        <w:rPr>
          <w:rFonts w:ascii="Arial" w:hAnsi="Arial" w:cs="Arial"/>
          <w:b/>
        </w:rPr>
      </w:pPr>
    </w:p>
    <w:p w:rsidR="00325998" w:rsidRPr="00FF7E8C" w:rsidRDefault="00325998" w:rsidP="00B42EE7">
      <w:pPr>
        <w:jc w:val="center"/>
        <w:rPr>
          <w:rFonts w:ascii="Arial" w:hAnsi="Arial" w:cs="Arial"/>
          <w:b/>
        </w:rPr>
      </w:pPr>
    </w:p>
    <w:p w:rsidR="00325998" w:rsidRPr="00FF7E8C" w:rsidRDefault="00325998" w:rsidP="00B42EE7">
      <w:pPr>
        <w:jc w:val="center"/>
        <w:rPr>
          <w:rFonts w:ascii="Arial" w:hAnsi="Arial" w:cs="Arial"/>
          <w:b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PRIHODI I PRIMICI</w:t>
      </w:r>
    </w:p>
    <w:p w:rsidR="00B42EE7" w:rsidRPr="00FF7E8C" w:rsidRDefault="00B42EE7" w:rsidP="00B42EE7">
      <w:pPr>
        <w:jc w:val="both"/>
        <w:rPr>
          <w:rFonts w:ascii="Arial" w:hAnsi="Arial" w:cs="Arial"/>
          <w:b/>
        </w:rPr>
      </w:pP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Ukupni planirani prihodi i primici za 202</w:t>
      </w:r>
      <w:r w:rsidR="00744062" w:rsidRPr="00FF7E8C">
        <w:rPr>
          <w:rFonts w:ascii="Arial" w:hAnsi="Arial" w:cs="Arial"/>
        </w:rPr>
        <w:t>4</w:t>
      </w:r>
      <w:r w:rsidRPr="00FF7E8C">
        <w:rPr>
          <w:rFonts w:ascii="Arial" w:hAnsi="Arial" w:cs="Arial"/>
        </w:rPr>
        <w:t>. u izvornom planu ili rebalansu iznose 1.</w:t>
      </w:r>
      <w:r w:rsidR="00744062" w:rsidRPr="00FF7E8C">
        <w:rPr>
          <w:rFonts w:ascii="Arial" w:hAnsi="Arial" w:cs="Arial"/>
        </w:rPr>
        <w:t>943.655</w:t>
      </w:r>
      <w:r w:rsidRPr="00FF7E8C">
        <w:rPr>
          <w:rFonts w:ascii="Arial" w:hAnsi="Arial" w:cs="Arial"/>
        </w:rPr>
        <w:t xml:space="preserve">,00 € dok je u tekućem planu vidljivo povećanje na </w:t>
      </w:r>
      <w:r w:rsidR="00744062" w:rsidRPr="00FF7E8C">
        <w:rPr>
          <w:rFonts w:ascii="Arial" w:hAnsi="Arial" w:cs="Arial"/>
        </w:rPr>
        <w:t>2.180.399</w:t>
      </w:r>
      <w:r w:rsidRPr="00FF7E8C">
        <w:rPr>
          <w:rFonts w:ascii="Arial" w:hAnsi="Arial" w:cs="Arial"/>
        </w:rPr>
        <w:t>,00 €.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Ukupno je ostvareno/izvršeno u 202</w:t>
      </w:r>
      <w:r w:rsidR="00744062" w:rsidRPr="00FF7E8C">
        <w:rPr>
          <w:rFonts w:ascii="Arial" w:hAnsi="Arial" w:cs="Arial"/>
        </w:rPr>
        <w:t>4</w:t>
      </w:r>
      <w:r w:rsidRPr="00FF7E8C">
        <w:rPr>
          <w:rFonts w:ascii="Arial" w:hAnsi="Arial" w:cs="Arial"/>
        </w:rPr>
        <w:t xml:space="preserve">. prihoda i primitaka </w:t>
      </w:r>
      <w:r w:rsidR="00744062" w:rsidRPr="00FF7E8C">
        <w:rPr>
          <w:rFonts w:ascii="Arial" w:hAnsi="Arial" w:cs="Arial"/>
        </w:rPr>
        <w:t>financijskog plana u iznosu od 2.135.499,84</w:t>
      </w:r>
      <w:r w:rsidRPr="00FF7E8C">
        <w:rPr>
          <w:rFonts w:ascii="Arial" w:hAnsi="Arial" w:cs="Arial"/>
        </w:rPr>
        <w:t xml:space="preserve"> € a čine ga:</w:t>
      </w:r>
    </w:p>
    <w:p w:rsidR="00744062" w:rsidRPr="00FF7E8C" w:rsidRDefault="00744062" w:rsidP="00B42EE7">
      <w:pPr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Prihoda iz nadležnoga proračuna</w:t>
      </w:r>
      <w:r w:rsidRPr="00FF7E8C">
        <w:rPr>
          <w:rFonts w:ascii="Arial" w:hAnsi="Arial" w:cs="Arial"/>
        </w:rPr>
        <w:t>:</w:t>
      </w:r>
    </w:p>
    <w:p w:rsidR="00B42EE7" w:rsidRPr="00FF7E8C" w:rsidRDefault="00B42EE7" w:rsidP="00B42EE7">
      <w:pPr>
        <w:ind w:left="709" w:hanging="709"/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Izvor 11</w:t>
      </w:r>
      <w:r w:rsidR="00744062" w:rsidRPr="00FF7E8C">
        <w:rPr>
          <w:rFonts w:ascii="Arial" w:hAnsi="Arial" w:cs="Arial"/>
          <w:i/>
        </w:rPr>
        <w:t xml:space="preserve"> Opći prihodi i primici iznose 2</w:t>
      </w:r>
      <w:r w:rsidRPr="00FF7E8C">
        <w:rPr>
          <w:rFonts w:ascii="Arial" w:hAnsi="Arial" w:cs="Arial"/>
          <w:i/>
        </w:rPr>
        <w:t>.</w:t>
      </w:r>
      <w:r w:rsidR="00744062" w:rsidRPr="00FF7E8C">
        <w:rPr>
          <w:rFonts w:ascii="Arial" w:hAnsi="Arial" w:cs="Arial"/>
          <w:i/>
        </w:rPr>
        <w:t>123.223,56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ind w:left="709" w:hanging="709"/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Prihod od prodaje proizvoda i usluga</w:t>
      </w:r>
      <w:r w:rsidRPr="00FF7E8C">
        <w:rPr>
          <w:rFonts w:ascii="Arial" w:hAnsi="Arial" w:cs="Arial"/>
        </w:rPr>
        <w:t xml:space="preserve">: 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31 Vlastiti prihodi iznose </w:t>
      </w:r>
      <w:r w:rsidR="00744062" w:rsidRPr="00FF7E8C">
        <w:rPr>
          <w:rFonts w:ascii="Arial" w:hAnsi="Arial" w:cs="Arial"/>
          <w:i/>
        </w:rPr>
        <w:t>13,30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744062" w:rsidRPr="00FF7E8C" w:rsidRDefault="00744062" w:rsidP="00744062">
      <w:pPr>
        <w:pStyle w:val="Odlomakpopisa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Prihodi za posebne namjene</w:t>
      </w:r>
      <w:r w:rsidRPr="00FF7E8C">
        <w:rPr>
          <w:rFonts w:ascii="Arial" w:hAnsi="Arial" w:cs="Arial"/>
        </w:rPr>
        <w:t xml:space="preserve">: </w:t>
      </w:r>
    </w:p>
    <w:p w:rsidR="00744062" w:rsidRPr="00FF7E8C" w:rsidRDefault="00744062" w:rsidP="00744062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Izvor 43 Ostali prihodi za posebne namjene 72,65 €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Prihodi proračunskim korisnicima iz proračuna koji im nije nadležan</w:t>
      </w:r>
      <w:r w:rsidRPr="00FF7E8C">
        <w:rPr>
          <w:rFonts w:ascii="Arial" w:hAnsi="Arial" w:cs="Arial"/>
        </w:rPr>
        <w:t xml:space="preserve">: 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52 Prihodi od općina i gradova za novu K.O. izmjeru </w:t>
      </w:r>
      <w:r w:rsidR="00744062" w:rsidRPr="00FF7E8C">
        <w:rPr>
          <w:rFonts w:ascii="Arial" w:hAnsi="Arial" w:cs="Arial"/>
          <w:i/>
        </w:rPr>
        <w:t>12.190,33</w:t>
      </w:r>
      <w:r w:rsidRPr="00FF7E8C">
        <w:rPr>
          <w:rFonts w:ascii="Arial" w:hAnsi="Arial" w:cs="Arial"/>
          <w:i/>
        </w:rPr>
        <w:t xml:space="preserve"> €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Ostvarenje/izvršenje prihoda i primitaka 1.-12.202</w:t>
      </w:r>
      <w:r w:rsidR="00744062" w:rsidRPr="00FF7E8C">
        <w:rPr>
          <w:rFonts w:ascii="Arial" w:hAnsi="Arial" w:cs="Arial"/>
          <w:i/>
        </w:rPr>
        <w:t>3</w:t>
      </w:r>
      <w:r w:rsidRPr="00FF7E8C">
        <w:rPr>
          <w:rFonts w:ascii="Arial" w:hAnsi="Arial" w:cs="Arial"/>
          <w:i/>
        </w:rPr>
        <w:t xml:space="preserve">. iznosi </w:t>
      </w:r>
      <w:r w:rsidR="00744062" w:rsidRPr="00FF7E8C">
        <w:rPr>
          <w:rFonts w:ascii="Arial" w:hAnsi="Arial" w:cs="Arial"/>
          <w:i/>
        </w:rPr>
        <w:t xml:space="preserve">1.613.537,06 </w:t>
      </w:r>
      <w:r w:rsidRPr="00FF7E8C">
        <w:rPr>
          <w:rFonts w:ascii="Arial" w:hAnsi="Arial" w:cs="Arial"/>
          <w:i/>
        </w:rPr>
        <w:t>€ dok ostvarenje/izvršenje prihoda i primitaka 1.-12.202</w:t>
      </w:r>
      <w:r w:rsidR="00744062" w:rsidRPr="00FF7E8C">
        <w:rPr>
          <w:rFonts w:ascii="Arial" w:hAnsi="Arial" w:cs="Arial"/>
          <w:i/>
        </w:rPr>
        <w:t>4</w:t>
      </w:r>
      <w:r w:rsidRPr="00FF7E8C">
        <w:rPr>
          <w:rFonts w:ascii="Arial" w:hAnsi="Arial" w:cs="Arial"/>
          <w:i/>
        </w:rPr>
        <w:t xml:space="preserve">. iznosi </w:t>
      </w:r>
      <w:r w:rsidR="00744062" w:rsidRPr="00FF7E8C">
        <w:rPr>
          <w:rFonts w:ascii="Arial" w:hAnsi="Arial" w:cs="Arial"/>
          <w:i/>
        </w:rPr>
        <w:t>2.170.590,00</w:t>
      </w:r>
      <w:r w:rsidRPr="00FF7E8C">
        <w:rPr>
          <w:rFonts w:ascii="Arial" w:hAnsi="Arial" w:cs="Arial"/>
          <w:i/>
        </w:rPr>
        <w:t xml:space="preserve"> €. U godišnjem izvještaju 202</w:t>
      </w:r>
      <w:r w:rsidR="00744062" w:rsidRPr="00FF7E8C">
        <w:rPr>
          <w:rFonts w:ascii="Arial" w:hAnsi="Arial" w:cs="Arial"/>
          <w:i/>
        </w:rPr>
        <w:t>4</w:t>
      </w:r>
      <w:r w:rsidRPr="00FF7E8C">
        <w:rPr>
          <w:rFonts w:ascii="Arial" w:hAnsi="Arial" w:cs="Arial"/>
          <w:i/>
        </w:rPr>
        <w:t>. je vidljivo veće ostvarenje/izvršenje nego u godišnjem izvještaju 202</w:t>
      </w:r>
      <w:r w:rsidR="00744062" w:rsidRPr="00FF7E8C">
        <w:rPr>
          <w:rFonts w:ascii="Arial" w:hAnsi="Arial" w:cs="Arial"/>
          <w:i/>
        </w:rPr>
        <w:t>3</w:t>
      </w:r>
      <w:r w:rsidRPr="00FF7E8C">
        <w:rPr>
          <w:rFonts w:ascii="Arial" w:hAnsi="Arial" w:cs="Arial"/>
          <w:i/>
        </w:rPr>
        <w:t>. iz razloga što su odobrena veća proračunska sredstva u financijskom planu.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Prihodi i primici su planirani prema limitima državnog proračuna te se doznačuju mjesečno na osnovu zahtjeva za pokriće troškova.</w:t>
      </w:r>
    </w:p>
    <w:p w:rsidR="00325998" w:rsidRPr="00FF7E8C" w:rsidRDefault="00325998" w:rsidP="00B42EE7">
      <w:pPr>
        <w:jc w:val="both"/>
        <w:rPr>
          <w:rFonts w:ascii="Arial" w:hAnsi="Arial" w:cs="Arial"/>
        </w:rPr>
      </w:pP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Vlastiti prihodi se odnose na uslugu preslika, ispisa i umnožavanje spisa strankama na osnovu zahtjeva te se obračunavaju prema odluci o visini naknade za preslikavanje, ispis i umnožavanje od 4. svibnja 2023.</w:t>
      </w:r>
    </w:p>
    <w:p w:rsidR="00744062" w:rsidRPr="00FF7E8C" w:rsidRDefault="00744062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Prihodi za posebne namjene se odnose na pasivne kamate HPB banke.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Prihodi na Izvoru 52 su prihodi koje uplaćuju Općine i Gradovi za novu K.O. izmjeru.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b/>
          <w:u w:val="single"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b/>
          <w:u w:val="single"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RASHODI I IZDACI</w:t>
      </w:r>
    </w:p>
    <w:p w:rsidR="00B42EE7" w:rsidRPr="00FF7E8C" w:rsidRDefault="00B42EE7" w:rsidP="00B42EE7">
      <w:pPr>
        <w:jc w:val="both"/>
        <w:rPr>
          <w:rFonts w:ascii="Arial" w:hAnsi="Arial" w:cs="Arial"/>
          <w:b/>
        </w:rPr>
      </w:pP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Ukupni planirani rashodi i izdaci u</w:t>
      </w:r>
      <w:r w:rsidRPr="00FF7E8C">
        <w:rPr>
          <w:rFonts w:ascii="Arial" w:hAnsi="Arial" w:cs="Arial"/>
          <w:b/>
        </w:rPr>
        <w:t xml:space="preserve"> </w:t>
      </w:r>
      <w:r w:rsidRPr="00FF7E8C">
        <w:rPr>
          <w:rFonts w:ascii="Arial" w:hAnsi="Arial" w:cs="Arial"/>
        </w:rPr>
        <w:t>202</w:t>
      </w:r>
      <w:r w:rsidR="00744062" w:rsidRPr="00FF7E8C">
        <w:rPr>
          <w:rFonts w:ascii="Arial" w:hAnsi="Arial" w:cs="Arial"/>
        </w:rPr>
        <w:t>4</w:t>
      </w:r>
      <w:r w:rsidRPr="00FF7E8C">
        <w:rPr>
          <w:rFonts w:ascii="Arial" w:hAnsi="Arial" w:cs="Arial"/>
        </w:rPr>
        <w:t>. u izvornom planu ili rebalansu iznose 1.</w:t>
      </w:r>
      <w:r w:rsidR="00744062" w:rsidRPr="00FF7E8C">
        <w:rPr>
          <w:rFonts w:ascii="Arial" w:hAnsi="Arial" w:cs="Arial"/>
        </w:rPr>
        <w:t>943.655</w:t>
      </w:r>
      <w:r w:rsidRPr="00FF7E8C">
        <w:rPr>
          <w:rFonts w:ascii="Arial" w:hAnsi="Arial" w:cs="Arial"/>
        </w:rPr>
        <w:t>,00 € dok je u tekuć</w:t>
      </w:r>
      <w:r w:rsidR="00744062" w:rsidRPr="00FF7E8C">
        <w:rPr>
          <w:rFonts w:ascii="Arial" w:hAnsi="Arial" w:cs="Arial"/>
        </w:rPr>
        <w:t>em planu vidljivo povećanje na 2.180.399</w:t>
      </w:r>
      <w:r w:rsidRPr="00FF7E8C">
        <w:rPr>
          <w:rFonts w:ascii="Arial" w:hAnsi="Arial" w:cs="Arial"/>
        </w:rPr>
        <w:t>,00 €.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Uku</w:t>
      </w:r>
      <w:r w:rsidR="00744062" w:rsidRPr="00FF7E8C">
        <w:rPr>
          <w:rFonts w:ascii="Arial" w:hAnsi="Arial" w:cs="Arial"/>
        </w:rPr>
        <w:t>pno je ostvareno/izvršeno u 2024</w:t>
      </w:r>
      <w:r w:rsidRPr="00FF7E8C">
        <w:rPr>
          <w:rFonts w:ascii="Arial" w:hAnsi="Arial" w:cs="Arial"/>
        </w:rPr>
        <w:t xml:space="preserve">. rashoda i izdataka </w:t>
      </w:r>
      <w:r w:rsidR="00744062" w:rsidRPr="00FF7E8C">
        <w:rPr>
          <w:rFonts w:ascii="Arial" w:hAnsi="Arial" w:cs="Arial"/>
        </w:rPr>
        <w:t>financijskog plana u iznosu od 2.135.427,19</w:t>
      </w:r>
      <w:r w:rsidRPr="00FF7E8C">
        <w:rPr>
          <w:rFonts w:ascii="Arial" w:hAnsi="Arial" w:cs="Arial"/>
        </w:rPr>
        <w:t xml:space="preserve"> € a čine ga:</w:t>
      </w:r>
    </w:p>
    <w:p w:rsidR="00744062" w:rsidRPr="00FF7E8C" w:rsidRDefault="00744062" w:rsidP="00B42EE7">
      <w:pPr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Rashoda za zaposlene</w:t>
      </w:r>
      <w:r w:rsidRPr="00FF7E8C">
        <w:rPr>
          <w:rFonts w:ascii="Arial" w:hAnsi="Arial" w:cs="Arial"/>
        </w:rPr>
        <w:t xml:space="preserve"> podmireni iz:</w:t>
      </w:r>
    </w:p>
    <w:p w:rsidR="00B42EE7" w:rsidRPr="00FF7E8C" w:rsidRDefault="00B42EE7" w:rsidP="00B42EE7">
      <w:pPr>
        <w:ind w:left="709" w:hanging="709"/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Izvor 11 Opći prihodi i primici i iznose 1.</w:t>
      </w:r>
      <w:r w:rsidR="00744062" w:rsidRPr="00FF7E8C">
        <w:rPr>
          <w:rFonts w:ascii="Arial" w:hAnsi="Arial" w:cs="Arial"/>
          <w:i/>
        </w:rPr>
        <w:t>704.154,76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ind w:left="709" w:hanging="709"/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isplate plaće i prijevoza zaposlenih te ostvarivanje prava koja im pripadaju prema KU</w:t>
      </w:r>
    </w:p>
    <w:p w:rsidR="00B42EE7" w:rsidRPr="00FF7E8C" w:rsidRDefault="00B42EE7" w:rsidP="00B42EE7">
      <w:pPr>
        <w:pStyle w:val="Odlomakpopisa"/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Materijalni rashodi</w:t>
      </w:r>
      <w:r w:rsidRPr="00FF7E8C">
        <w:rPr>
          <w:rFonts w:ascii="Arial" w:hAnsi="Arial" w:cs="Arial"/>
        </w:rPr>
        <w:t xml:space="preserve"> podmireni iz: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11 Opći prihodi i primici i iznose </w:t>
      </w:r>
      <w:r w:rsidR="00744062" w:rsidRPr="00FF7E8C">
        <w:rPr>
          <w:rFonts w:ascii="Arial" w:hAnsi="Arial" w:cs="Arial"/>
          <w:i/>
        </w:rPr>
        <w:t>420.935,34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podmirenje računa za nabavu uredskog materijala, poštanskih i telefonskih usluga, najma printera i sličnih izdataka.</w:t>
      </w:r>
    </w:p>
    <w:p w:rsidR="00B42EE7" w:rsidRPr="00FF7E8C" w:rsidRDefault="00B42EE7" w:rsidP="00B42EE7">
      <w:pPr>
        <w:pStyle w:val="Odlomakpopisa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44062" w:rsidRPr="00FF7E8C" w:rsidRDefault="00744062" w:rsidP="00B42EE7">
      <w:pPr>
        <w:pStyle w:val="Odlomakpopisa"/>
        <w:jc w:val="both"/>
        <w:rPr>
          <w:rFonts w:ascii="Arial" w:hAnsi="Arial" w:cs="Arial"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31 Vlastiti prihodi iznose </w:t>
      </w:r>
      <w:r w:rsidR="00744062" w:rsidRPr="00FF7E8C">
        <w:rPr>
          <w:rFonts w:ascii="Arial" w:hAnsi="Arial" w:cs="Arial"/>
          <w:i/>
        </w:rPr>
        <w:t>13,30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plaćanje računa ili nabavu uredske opreme iz vlastitih prihoda ostvarenih od kopiranja.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52 Prihodi od općina i gradova za novu K.O. izmjeru iznose </w:t>
      </w:r>
      <w:r w:rsidR="00744062" w:rsidRPr="00FF7E8C">
        <w:rPr>
          <w:rFonts w:ascii="Arial" w:hAnsi="Arial" w:cs="Arial"/>
          <w:i/>
        </w:rPr>
        <w:t>12.190,33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nabavu uredske opreme, plaćanje službenih putovanja i sl. a za potrebe K.O. izmjeru prema okvirnom sporazumu sa Općinama i Gradovima.</w:t>
      </w:r>
    </w:p>
    <w:p w:rsidR="00B42EE7" w:rsidRPr="00FF7E8C" w:rsidRDefault="00B42EE7" w:rsidP="00B42EE7">
      <w:pPr>
        <w:pStyle w:val="Odlomakpopisa"/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Financijski rashodi</w:t>
      </w:r>
      <w:r w:rsidRPr="00FF7E8C">
        <w:rPr>
          <w:rFonts w:ascii="Arial" w:hAnsi="Arial" w:cs="Arial"/>
        </w:rPr>
        <w:t xml:space="preserve"> podmireni iz:</w:t>
      </w: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 xml:space="preserve">Izvor 11 Opći prihodi i primici i iznose </w:t>
      </w:r>
      <w:r w:rsidR="00744062" w:rsidRPr="00FF7E8C">
        <w:rPr>
          <w:rFonts w:ascii="Arial" w:hAnsi="Arial" w:cs="Arial"/>
          <w:i/>
        </w:rPr>
        <w:t>1.999,04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plaćanje naknade HPB za vođenje računa i kamate za leasing službenog vozila.</w:t>
      </w:r>
    </w:p>
    <w:p w:rsidR="00325998" w:rsidRPr="00FF7E8C" w:rsidRDefault="00325998" w:rsidP="00325998">
      <w:pPr>
        <w:spacing w:after="160"/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jc w:val="both"/>
        <w:rPr>
          <w:rFonts w:ascii="Arial" w:hAnsi="Arial" w:cs="Arial"/>
        </w:rPr>
      </w:pPr>
    </w:p>
    <w:p w:rsidR="00B42EE7" w:rsidRPr="00FF7E8C" w:rsidRDefault="00B42EE7" w:rsidP="00B42EE7">
      <w:pPr>
        <w:pStyle w:val="Odlomakpopisa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  <w:b/>
        </w:rPr>
        <w:t>Rashodi za nabavu nefinancijske imovine</w:t>
      </w:r>
      <w:r w:rsidRPr="00FF7E8C">
        <w:rPr>
          <w:rFonts w:ascii="Arial" w:hAnsi="Arial" w:cs="Arial"/>
        </w:rPr>
        <w:t xml:space="preserve"> podmireni iz:</w:t>
      </w:r>
    </w:p>
    <w:p w:rsidR="00B42EE7" w:rsidRPr="00FF7E8C" w:rsidRDefault="00B42EE7" w:rsidP="00B42EE7">
      <w:pPr>
        <w:ind w:left="709" w:hanging="709"/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Izvor 42 Opći p</w:t>
      </w:r>
      <w:r w:rsidR="00744062" w:rsidRPr="00FF7E8C">
        <w:rPr>
          <w:rFonts w:ascii="Arial" w:hAnsi="Arial" w:cs="Arial"/>
          <w:i/>
        </w:rPr>
        <w:t>rihodi i primici i iznose 8.338,05</w:t>
      </w:r>
      <w:r w:rsidRPr="00FF7E8C">
        <w:rPr>
          <w:rFonts w:ascii="Arial" w:hAnsi="Arial" w:cs="Arial"/>
          <w:i/>
        </w:rPr>
        <w:t xml:space="preserve"> €</w:t>
      </w:r>
    </w:p>
    <w:p w:rsidR="00744062" w:rsidRPr="00FF7E8C" w:rsidRDefault="00744062" w:rsidP="00B42EE7">
      <w:pPr>
        <w:ind w:left="709" w:hanging="709"/>
        <w:jc w:val="both"/>
        <w:rPr>
          <w:rFonts w:ascii="Arial" w:hAnsi="Arial" w:cs="Arial"/>
          <w:i/>
        </w:rPr>
      </w:pPr>
    </w:p>
    <w:p w:rsidR="00B42EE7" w:rsidRPr="00FF7E8C" w:rsidRDefault="00B42EE7" w:rsidP="00B42EE7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Planirani rashodi i izdaci se odnose na nabavu opreme i ulaganja u zgrade suda te otplatu glavnice za leasing za službeno vozilo.</w:t>
      </w:r>
    </w:p>
    <w:p w:rsidR="00B42EE7" w:rsidRPr="00FF7E8C" w:rsidRDefault="00B42EE7" w:rsidP="00B42EE7">
      <w:pPr>
        <w:jc w:val="both"/>
        <w:rPr>
          <w:rFonts w:ascii="Arial" w:hAnsi="Arial" w:cs="Arial"/>
        </w:rPr>
      </w:pPr>
    </w:p>
    <w:p w:rsidR="00B42EE7" w:rsidRPr="00FF7E8C" w:rsidRDefault="00B42EE7" w:rsidP="00B42EE7">
      <w:pPr>
        <w:jc w:val="both"/>
        <w:rPr>
          <w:rFonts w:ascii="Arial" w:hAnsi="Arial" w:cs="Arial"/>
          <w:i/>
        </w:rPr>
      </w:pPr>
      <w:r w:rsidRPr="00FF7E8C">
        <w:rPr>
          <w:rFonts w:ascii="Arial" w:hAnsi="Arial" w:cs="Arial"/>
          <w:i/>
        </w:rPr>
        <w:t>Ostvarenje/izvršen</w:t>
      </w:r>
      <w:r w:rsidR="00744062" w:rsidRPr="00FF7E8C">
        <w:rPr>
          <w:rFonts w:ascii="Arial" w:hAnsi="Arial" w:cs="Arial"/>
          <w:i/>
        </w:rPr>
        <w:t>je rashoda i izdataka 1.-12.2023</w:t>
      </w:r>
      <w:r w:rsidRPr="00FF7E8C">
        <w:rPr>
          <w:rFonts w:ascii="Arial" w:hAnsi="Arial" w:cs="Arial"/>
          <w:i/>
        </w:rPr>
        <w:t xml:space="preserve">. iznosi </w:t>
      </w:r>
      <w:r w:rsidR="00744062" w:rsidRPr="00FF7E8C">
        <w:rPr>
          <w:rFonts w:ascii="Arial" w:hAnsi="Arial" w:cs="Arial"/>
          <w:i/>
        </w:rPr>
        <w:t xml:space="preserve">1.621.097,33 </w:t>
      </w:r>
      <w:r w:rsidRPr="00FF7E8C">
        <w:rPr>
          <w:rFonts w:ascii="Arial" w:hAnsi="Arial" w:cs="Arial"/>
          <w:i/>
        </w:rPr>
        <w:t>€ dok ostvarenje/izvršenje rashoda i izdataka 1.-12.202</w:t>
      </w:r>
      <w:r w:rsidR="00744062" w:rsidRPr="00FF7E8C">
        <w:rPr>
          <w:rFonts w:ascii="Arial" w:hAnsi="Arial" w:cs="Arial"/>
          <w:i/>
        </w:rPr>
        <w:t>4</w:t>
      </w:r>
      <w:r w:rsidRPr="00FF7E8C">
        <w:rPr>
          <w:rFonts w:ascii="Arial" w:hAnsi="Arial" w:cs="Arial"/>
          <w:i/>
        </w:rPr>
        <w:t xml:space="preserve">. iznosi </w:t>
      </w:r>
      <w:r w:rsidR="00744062" w:rsidRPr="00FF7E8C">
        <w:rPr>
          <w:rFonts w:ascii="Arial" w:hAnsi="Arial" w:cs="Arial"/>
          <w:i/>
        </w:rPr>
        <w:t>2.135.427,19</w:t>
      </w:r>
      <w:r w:rsidRPr="00FF7E8C">
        <w:rPr>
          <w:rFonts w:ascii="Arial" w:hAnsi="Arial" w:cs="Arial"/>
          <w:i/>
        </w:rPr>
        <w:t xml:space="preserve"> €. U godišnjem izvještaju 202</w:t>
      </w:r>
      <w:r w:rsidR="00744062" w:rsidRPr="00FF7E8C">
        <w:rPr>
          <w:rFonts w:ascii="Arial" w:hAnsi="Arial" w:cs="Arial"/>
          <w:i/>
        </w:rPr>
        <w:t>4</w:t>
      </w:r>
      <w:r w:rsidRPr="00FF7E8C">
        <w:rPr>
          <w:rFonts w:ascii="Arial" w:hAnsi="Arial" w:cs="Arial"/>
          <w:i/>
        </w:rPr>
        <w:t>. je vidljivo veće ostvarenje/izvršenje nego u godišnjem izvještaju 202</w:t>
      </w:r>
      <w:r w:rsidR="00744062" w:rsidRPr="00FF7E8C">
        <w:rPr>
          <w:rFonts w:ascii="Arial" w:hAnsi="Arial" w:cs="Arial"/>
          <w:i/>
        </w:rPr>
        <w:t>3</w:t>
      </w:r>
      <w:r w:rsidRPr="00FF7E8C">
        <w:rPr>
          <w:rFonts w:ascii="Arial" w:hAnsi="Arial" w:cs="Arial"/>
          <w:i/>
        </w:rPr>
        <w:t>. radi većih rashoda na plaćama i poskupljenju roba i usluga.</w:t>
      </w:r>
    </w:p>
    <w:p w:rsidR="00F652B5" w:rsidRPr="00FF7E8C" w:rsidRDefault="00F652B5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D713B9" w:rsidRPr="00FF7E8C" w:rsidRDefault="00D713B9" w:rsidP="00D713B9">
      <w:pPr>
        <w:jc w:val="center"/>
        <w:rPr>
          <w:rFonts w:ascii="Arial" w:hAnsi="Arial" w:cs="Arial"/>
          <w:b/>
          <w:sz w:val="28"/>
        </w:rPr>
      </w:pPr>
      <w:r w:rsidRPr="00FF7E8C">
        <w:rPr>
          <w:rFonts w:ascii="Arial" w:hAnsi="Arial" w:cs="Arial"/>
          <w:b/>
          <w:sz w:val="28"/>
        </w:rPr>
        <w:t>OBRAZLOŽENJE POSEBNOG DIJELA GODIŠNJEG IZVJEŠTAJA O IZVRŠENJU FINACIJSKOG PLANA 2024.</w:t>
      </w: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Plaće i doprinosi</w:t>
      </w: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 Općinskom sudu u Metkoviću je u 2024. godini ukupno bilo 63 zaposlenika po sljedećoj strukturi: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 predsjednik općinskog suda, dužnosnik</w:t>
      </w: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10 sudaca općinskog suda, dužnosnici</w:t>
      </w: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 viši sudski savjetnik - specijalist, službenik</w:t>
      </w: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40 službenika</w:t>
      </w: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 vježbenik</w:t>
      </w:r>
    </w:p>
    <w:p w:rsidR="00D713B9" w:rsidRPr="00FF7E8C" w:rsidRDefault="00D713B9" w:rsidP="00D713B9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10 namještenika</w:t>
      </w: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isplatu plaća i doprinosa zaposlenicima u 2023. godini utrošeno je 1.010.192,56 €.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isplatu plaća i doprinosa zaposlenicima u 2024. godini utrošeno je 1.362.988,58 €.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Razlog većeg izvršenja u 2024. u odnosu na 2023. je isplata plaća zaposlenicima po većoj osnovici i većim naknadama dužnosnicima za prekovremeni rad kaznenog vijeća.</w:t>
      </w: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Ostali rashodi za zaposlene (prava prema KU)</w:t>
      </w: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Službenici i namještenici prema KU imaju pravo na isplatu regresa, božićnice, uskrsnice, dara djeci za sv. Nikolu, jubilarne nagrade i pomoći. 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 2023. godini utrošeno je na ostale rashode 43.892,44 € a u 2024. godini 53.669,65 €.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Razlog većeg izvršenja u 2024. u odnosu na 2023. je isplata većih iznosa regresa i božićnice svim zaposlenicima.</w:t>
      </w: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D713B9">
      <w:pPr>
        <w:jc w:val="both"/>
        <w:rPr>
          <w:rFonts w:ascii="Arial" w:hAnsi="Arial" w:cs="Arial"/>
          <w:b/>
          <w:u w:val="single"/>
        </w:rPr>
      </w:pPr>
    </w:p>
    <w:p w:rsidR="00325998" w:rsidRPr="00FF7E8C" w:rsidRDefault="00325998" w:rsidP="00D713B9">
      <w:pPr>
        <w:jc w:val="both"/>
        <w:rPr>
          <w:rFonts w:ascii="Arial" w:hAnsi="Arial" w:cs="Arial"/>
          <w:b/>
          <w:u w:val="single"/>
        </w:rPr>
      </w:pPr>
    </w:p>
    <w:p w:rsidR="00325998" w:rsidRPr="00FF7E8C" w:rsidRDefault="00325998" w:rsidP="00D713B9">
      <w:pPr>
        <w:jc w:val="both"/>
        <w:rPr>
          <w:rFonts w:ascii="Arial" w:hAnsi="Arial" w:cs="Arial"/>
          <w:b/>
          <w:u w:val="single"/>
        </w:rPr>
      </w:pPr>
    </w:p>
    <w:p w:rsidR="00325998" w:rsidRPr="00FF7E8C" w:rsidRDefault="00325998" w:rsidP="00D713B9">
      <w:pPr>
        <w:jc w:val="both"/>
        <w:rPr>
          <w:rFonts w:ascii="Arial" w:hAnsi="Arial" w:cs="Arial"/>
          <w:b/>
          <w:u w:val="single"/>
        </w:rPr>
      </w:pPr>
    </w:p>
    <w:p w:rsidR="00325998" w:rsidRPr="00FF7E8C" w:rsidRDefault="00325998" w:rsidP="00D713B9">
      <w:pPr>
        <w:jc w:val="both"/>
        <w:rPr>
          <w:rFonts w:ascii="Arial" w:hAnsi="Arial" w:cs="Arial"/>
          <w:b/>
          <w:u w:val="single"/>
        </w:rPr>
      </w:pP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Naknade za prijevoz</w:t>
      </w:r>
    </w:p>
    <w:p w:rsidR="00D713B9" w:rsidRPr="00FF7E8C" w:rsidRDefault="00D713B9" w:rsidP="00D713B9">
      <w:pPr>
        <w:jc w:val="both"/>
        <w:rPr>
          <w:rFonts w:ascii="Arial" w:hAnsi="Arial" w:cs="Arial"/>
          <w:b/>
          <w:u w:val="single"/>
        </w:rPr>
      </w:pP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Zaposlenici imaju pravo na naknadu troškova prijevoza za dolazak na posao i odlazak s posla, pod uvjetom da je udaljenost od njihova prebivališta, odnosno boravišta  do mjesta rada najmanje dva kilometra. 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 2023. godini utrošeno je na naknade za prijevoz na posao i sa posla 43.051,91 € a u 2024. godini 48.572,96 €.</w:t>
      </w:r>
    </w:p>
    <w:p w:rsidR="00D713B9" w:rsidRPr="00FF7E8C" w:rsidRDefault="00D713B9" w:rsidP="00D713B9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Razlog većeg izvršenja u 2024. u odnosu na 2023. je taj što se isplaćuje prijevoz po mjesečnoj karti zaposlenicima starijima od 58 uključujući i dužnosnike.</w:t>
      </w: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B35627" w:rsidRPr="00FF7E8C" w:rsidRDefault="00B35627" w:rsidP="00B35627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Materijalni rashodi</w:t>
      </w:r>
    </w:p>
    <w:p w:rsidR="00B35627" w:rsidRPr="00FF7E8C" w:rsidRDefault="00B35627" w:rsidP="00B35627">
      <w:pPr>
        <w:jc w:val="both"/>
        <w:rPr>
          <w:rFonts w:ascii="Arial" w:hAnsi="Arial" w:cs="Arial"/>
          <w:b/>
          <w:u w:val="single"/>
        </w:rPr>
      </w:pPr>
    </w:p>
    <w:p w:rsidR="00B35627" w:rsidRPr="00FF7E8C" w:rsidRDefault="00B35627" w:rsidP="00B35627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Od materijalnih rashoda utrošeno </w:t>
      </w:r>
      <w:r w:rsidR="00325998" w:rsidRPr="00FF7E8C">
        <w:rPr>
          <w:rFonts w:ascii="Arial" w:hAnsi="Arial" w:cs="Arial"/>
        </w:rPr>
        <w:t xml:space="preserve">je </w:t>
      </w:r>
      <w:r w:rsidRPr="00FF7E8C">
        <w:rPr>
          <w:rFonts w:ascii="Arial" w:hAnsi="Arial" w:cs="Arial"/>
        </w:rPr>
        <w:t>na sljedeće troškove:</w:t>
      </w:r>
    </w:p>
    <w:p w:rsidR="00B35627" w:rsidRPr="00FF7E8C" w:rsidRDefault="00B35627" w:rsidP="00B35627">
      <w:pPr>
        <w:jc w:val="both"/>
        <w:rPr>
          <w:rFonts w:ascii="Arial" w:hAnsi="Arial" w:cs="Arial"/>
        </w:rPr>
      </w:pP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intelektualne usluge u 2023. godini utrošeno je 91.089,00 € a u 2024. godini 153.074,41 €. Razlog većeg izvršenja u 2024. u odnosu na 2023. je veći broj pristiglih rješenja za isplatu braniteljima po službenoj dužnosti.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nabavu uredskog materijala i ostalih materijalnih rashoda u 2023. godini utrošeno je 28.072,98 € a u 2024. godini 24.433,52 €. Razlog manjeg izvršenja u 2024. u odnosu na 2023. je preraspodjela u rebalansu na druge rashode.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energiju je u 2023. godini utrošeno je 28.600,00 € a u 2024. godini 27.775,49 €. Razlog manjeg izvršenja u 2024. u odnosu na 2023. je manja potrošnja.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nabavu materijala i dijelova za tekuće održavanje u 2023. godini utrošeno je 335,05 € a u 2024. godini 622,97 €. Razlog većeg izvršenja u 2024. u odnosu na 2023. je veća potreba za istim.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nabavu sitnog inventara u 2023. godini utrošeno je 1.327,00 € a u 2024. godini 56,25 €. Razlog manjeg izvršenja u 2024. u odnosu na 2023. je manja potreba za sitnim inventarom.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službeni put u 2023. godini utrošeno je 5.309,00 € a u 2024. godini 4.500,00 €. Razlog manjeg izvršenja u 2024. u odnosu na 2023. je veći broj webinara pa nije bilo potrebe za službenim putem.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stručno usavršavanje zaposlenika u 2023. godini utrošeno je 1.027,03 € a u 2024. godini 1.400,00 €. Razlog većeg izvršenja u 2024. u odnosu na 2023. je veći broj </w:t>
      </w:r>
      <w:r w:rsidR="00396961" w:rsidRPr="00FF7E8C">
        <w:rPr>
          <w:rFonts w:ascii="Arial" w:hAnsi="Arial" w:cs="Arial"/>
        </w:rPr>
        <w:t>prijava na webinare JN.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usluge telefona i pošte u 2023. godini utrošeno je </w:t>
      </w:r>
      <w:r w:rsidR="00396961" w:rsidRPr="00FF7E8C">
        <w:rPr>
          <w:rFonts w:ascii="Arial" w:hAnsi="Arial" w:cs="Arial"/>
        </w:rPr>
        <w:t>71.006,33</w:t>
      </w:r>
      <w:r w:rsidRPr="00FF7E8C">
        <w:rPr>
          <w:rFonts w:ascii="Arial" w:hAnsi="Arial" w:cs="Arial"/>
        </w:rPr>
        <w:t xml:space="preserve"> € a u 2024. godini </w:t>
      </w:r>
      <w:r w:rsidR="00396961" w:rsidRPr="00FF7E8C">
        <w:rPr>
          <w:rFonts w:ascii="Arial" w:hAnsi="Arial" w:cs="Arial"/>
        </w:rPr>
        <w:t>94.789,72</w:t>
      </w:r>
      <w:r w:rsidRPr="00FF7E8C">
        <w:rPr>
          <w:rFonts w:ascii="Arial" w:hAnsi="Arial" w:cs="Arial"/>
        </w:rPr>
        <w:t xml:space="preserve"> €. Razlog većeg izvršenja u 2024. u odnosu na 2023. je veći broj poslanih pismena.</w:t>
      </w:r>
    </w:p>
    <w:p w:rsidR="00396961" w:rsidRPr="00FF7E8C" w:rsidRDefault="00396961" w:rsidP="00396961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usluge promidžbe i informiranja u 2023. godini utrošeno je 3.982,00 € a u 2024. godini 870,00 €. Razlog manjeg izvršenja u 2024. u odnosu na 2023. je niža cijena oglašavanja.</w:t>
      </w:r>
    </w:p>
    <w:p w:rsidR="00396961" w:rsidRPr="00FF7E8C" w:rsidRDefault="00396961" w:rsidP="00396961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komunalne usluge u 2023. godini utrošeno je 25.400,00 € a u 2024. godini 26.938,11 €. Razlog većeg izvršenja u 2024. u odnosu na 2023. je veća potrošnja vode.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najam fotokopirnih uređaja u 2023. godini utrošeno je </w:t>
      </w:r>
      <w:r w:rsidR="00396961" w:rsidRPr="00FF7E8C">
        <w:rPr>
          <w:rFonts w:ascii="Arial" w:hAnsi="Arial" w:cs="Arial"/>
        </w:rPr>
        <w:t>11.005,13</w:t>
      </w:r>
      <w:r w:rsidRPr="00FF7E8C">
        <w:rPr>
          <w:rFonts w:ascii="Arial" w:hAnsi="Arial" w:cs="Arial"/>
        </w:rPr>
        <w:t xml:space="preserve"> € a u 2024. godini </w:t>
      </w:r>
      <w:r w:rsidR="00396961" w:rsidRPr="00FF7E8C">
        <w:rPr>
          <w:rFonts w:ascii="Arial" w:hAnsi="Arial" w:cs="Arial"/>
        </w:rPr>
        <w:t>11.176,04</w:t>
      </w:r>
      <w:r w:rsidRPr="00FF7E8C">
        <w:rPr>
          <w:rFonts w:ascii="Arial" w:hAnsi="Arial" w:cs="Arial"/>
        </w:rPr>
        <w:t xml:space="preserve"> €. Razlog većeg izvršenja u 2024. u odnosu na 2023. je </w:t>
      </w:r>
      <w:r w:rsidR="00396961" w:rsidRPr="00FF7E8C">
        <w:rPr>
          <w:rFonts w:ascii="Arial" w:hAnsi="Arial" w:cs="Arial"/>
        </w:rPr>
        <w:t>veći broj ispisa</w:t>
      </w:r>
      <w:r w:rsidRPr="00FF7E8C">
        <w:rPr>
          <w:rFonts w:ascii="Arial" w:hAnsi="Arial" w:cs="Arial"/>
        </w:rPr>
        <w:t>.</w:t>
      </w:r>
    </w:p>
    <w:p w:rsidR="00325998" w:rsidRPr="00FF7E8C" w:rsidRDefault="00325998" w:rsidP="00325998">
      <w:pPr>
        <w:spacing w:after="160"/>
        <w:jc w:val="both"/>
        <w:rPr>
          <w:rFonts w:ascii="Arial" w:hAnsi="Arial" w:cs="Arial"/>
        </w:rPr>
      </w:pPr>
    </w:p>
    <w:p w:rsidR="00325998" w:rsidRPr="00FF7E8C" w:rsidRDefault="00325998" w:rsidP="00325998">
      <w:pPr>
        <w:spacing w:after="160"/>
        <w:jc w:val="both"/>
        <w:rPr>
          <w:rFonts w:ascii="Arial" w:hAnsi="Arial" w:cs="Arial"/>
        </w:rPr>
      </w:pP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zdravstvene usluge u 2023. godini utrošeno je </w:t>
      </w:r>
      <w:r w:rsidR="00396961" w:rsidRPr="00FF7E8C">
        <w:rPr>
          <w:rFonts w:ascii="Arial" w:hAnsi="Arial" w:cs="Arial"/>
        </w:rPr>
        <w:t>8.189,70</w:t>
      </w:r>
      <w:r w:rsidRPr="00FF7E8C">
        <w:rPr>
          <w:rFonts w:ascii="Arial" w:hAnsi="Arial" w:cs="Arial"/>
        </w:rPr>
        <w:t xml:space="preserve"> € a u 2024. godini </w:t>
      </w:r>
      <w:r w:rsidR="00396961" w:rsidRPr="00FF7E8C">
        <w:rPr>
          <w:rFonts w:ascii="Arial" w:hAnsi="Arial" w:cs="Arial"/>
        </w:rPr>
        <w:t>50</w:t>
      </w:r>
      <w:r w:rsidRPr="00FF7E8C">
        <w:rPr>
          <w:rFonts w:ascii="Arial" w:hAnsi="Arial" w:cs="Arial"/>
        </w:rPr>
        <w:t xml:space="preserve"> €. Razlog </w:t>
      </w:r>
      <w:r w:rsidR="00396961" w:rsidRPr="00FF7E8C">
        <w:rPr>
          <w:rFonts w:ascii="Arial" w:hAnsi="Arial" w:cs="Arial"/>
        </w:rPr>
        <w:t>manj</w:t>
      </w:r>
      <w:r w:rsidRPr="00FF7E8C">
        <w:rPr>
          <w:rFonts w:ascii="Arial" w:hAnsi="Arial" w:cs="Arial"/>
        </w:rPr>
        <w:t xml:space="preserve">eg izvršenja u 2024. u odnosu na 2023. je </w:t>
      </w:r>
      <w:r w:rsidR="00396961" w:rsidRPr="00FF7E8C">
        <w:rPr>
          <w:rFonts w:ascii="Arial" w:hAnsi="Arial" w:cs="Arial"/>
        </w:rPr>
        <w:t>ne odlazak zaposlenika na</w:t>
      </w:r>
      <w:r w:rsidRPr="00FF7E8C">
        <w:rPr>
          <w:rFonts w:ascii="Arial" w:hAnsi="Arial" w:cs="Arial"/>
        </w:rPr>
        <w:t xml:space="preserve"> sistematski pregled.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računalne usluge u 2023. godini utrošeno je </w:t>
      </w:r>
      <w:r w:rsidR="00396961" w:rsidRPr="00FF7E8C">
        <w:rPr>
          <w:rFonts w:ascii="Arial" w:hAnsi="Arial" w:cs="Arial"/>
        </w:rPr>
        <w:t>664</w:t>
      </w:r>
      <w:r w:rsidRPr="00FF7E8C">
        <w:rPr>
          <w:rFonts w:ascii="Arial" w:hAnsi="Arial" w:cs="Arial"/>
        </w:rPr>
        <w:t>,00 € a u 2024. godini 19,92 €. Razlog manjeg izvršenja u 2024. u odnosu na 2023. je manja potreba za istim.</w:t>
      </w:r>
    </w:p>
    <w:p w:rsidR="00396961" w:rsidRPr="00FF7E8C" w:rsidRDefault="00396961" w:rsidP="00396961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ostale usluge u 2023. godini utrošeno je </w:t>
      </w:r>
      <w:r w:rsidR="00530125" w:rsidRPr="00FF7E8C">
        <w:rPr>
          <w:rFonts w:ascii="Arial" w:hAnsi="Arial" w:cs="Arial"/>
        </w:rPr>
        <w:t>1.991,00</w:t>
      </w:r>
      <w:r w:rsidRPr="00FF7E8C">
        <w:rPr>
          <w:rFonts w:ascii="Arial" w:hAnsi="Arial" w:cs="Arial"/>
        </w:rPr>
        <w:t xml:space="preserve"> € a u 2024. godini </w:t>
      </w:r>
      <w:r w:rsidR="00530125" w:rsidRPr="00FF7E8C">
        <w:rPr>
          <w:rFonts w:ascii="Arial" w:hAnsi="Arial" w:cs="Arial"/>
        </w:rPr>
        <w:t>0,09</w:t>
      </w:r>
      <w:r w:rsidRPr="00FF7E8C">
        <w:rPr>
          <w:rFonts w:ascii="Arial" w:hAnsi="Arial" w:cs="Arial"/>
        </w:rPr>
        <w:t xml:space="preserve"> €. Razlog </w:t>
      </w:r>
      <w:r w:rsidR="00530125" w:rsidRPr="00FF7E8C">
        <w:rPr>
          <w:rFonts w:ascii="Arial" w:hAnsi="Arial" w:cs="Arial"/>
        </w:rPr>
        <w:t>manj</w:t>
      </w:r>
      <w:r w:rsidRPr="00FF7E8C">
        <w:rPr>
          <w:rFonts w:ascii="Arial" w:hAnsi="Arial" w:cs="Arial"/>
        </w:rPr>
        <w:t xml:space="preserve">eg izvršenja u 2024. u odnosu na 2023. je </w:t>
      </w:r>
      <w:r w:rsidR="00530125" w:rsidRPr="00FF7E8C">
        <w:rPr>
          <w:rFonts w:ascii="Arial" w:hAnsi="Arial" w:cs="Arial"/>
        </w:rPr>
        <w:t>manja potreba za istim</w:t>
      </w:r>
      <w:r w:rsidRPr="00FF7E8C">
        <w:rPr>
          <w:rFonts w:ascii="Arial" w:hAnsi="Arial" w:cs="Arial"/>
        </w:rPr>
        <w:t>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naknadu troškova osobama izvan radnog odnosa u 2023. godini utrošeno je </w:t>
      </w:r>
      <w:r w:rsidR="00530125" w:rsidRPr="00FF7E8C">
        <w:rPr>
          <w:rFonts w:ascii="Arial" w:hAnsi="Arial" w:cs="Arial"/>
        </w:rPr>
        <w:t>96,36</w:t>
      </w:r>
      <w:r w:rsidRPr="00FF7E8C">
        <w:rPr>
          <w:rFonts w:ascii="Arial" w:hAnsi="Arial" w:cs="Arial"/>
        </w:rPr>
        <w:t xml:space="preserve"> € a u 2024. godini </w:t>
      </w:r>
      <w:r w:rsidR="00530125" w:rsidRPr="00FF7E8C">
        <w:rPr>
          <w:rFonts w:ascii="Arial" w:hAnsi="Arial" w:cs="Arial"/>
        </w:rPr>
        <w:t>406,22</w:t>
      </w:r>
      <w:r w:rsidRPr="00FF7E8C">
        <w:rPr>
          <w:rFonts w:ascii="Arial" w:hAnsi="Arial" w:cs="Arial"/>
        </w:rPr>
        <w:t xml:space="preserve"> €. Razlog </w:t>
      </w:r>
      <w:r w:rsidR="00530125" w:rsidRPr="00FF7E8C">
        <w:rPr>
          <w:rFonts w:ascii="Arial" w:hAnsi="Arial" w:cs="Arial"/>
        </w:rPr>
        <w:t>već</w:t>
      </w:r>
      <w:r w:rsidRPr="00FF7E8C">
        <w:rPr>
          <w:rFonts w:ascii="Arial" w:hAnsi="Arial" w:cs="Arial"/>
        </w:rPr>
        <w:t xml:space="preserve">eg izvršenja u 2024. u odnosu na 2023. je </w:t>
      </w:r>
      <w:r w:rsidR="00530125" w:rsidRPr="00FF7E8C">
        <w:rPr>
          <w:rFonts w:ascii="Arial" w:hAnsi="Arial" w:cs="Arial"/>
        </w:rPr>
        <w:t>veći broj</w:t>
      </w:r>
      <w:r w:rsidRPr="00FF7E8C">
        <w:rPr>
          <w:rFonts w:ascii="Arial" w:hAnsi="Arial" w:cs="Arial"/>
        </w:rPr>
        <w:t xml:space="preserve"> isplata svjedocima.</w:t>
      </w:r>
    </w:p>
    <w:p w:rsidR="00530125" w:rsidRPr="00FF7E8C" w:rsidRDefault="00530125" w:rsidP="0053012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premije osiguranja u 2023. godini utrošeno je 770,99 € a u 2024. godini 1.038,75 €. Razlog većeg izvršenja u 2024. u odnosu na 2023. je poskupljenje.</w:t>
      </w:r>
    </w:p>
    <w:p w:rsidR="00530125" w:rsidRPr="00FF7E8C" w:rsidRDefault="00530125" w:rsidP="0053012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reprezentaciju u 2023. godini utrošeno je 178,71 € a u 2024. godini 141,16 €. Razlog manjeg izvršenja u 2024. u odnosu na 2023. je manja potreba za istim.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ostale nespomenute rashode poslovanja u 2023. godini utrošeno je </w:t>
      </w:r>
      <w:r w:rsidR="00530125" w:rsidRPr="00FF7E8C">
        <w:rPr>
          <w:rFonts w:ascii="Arial" w:hAnsi="Arial" w:cs="Arial"/>
        </w:rPr>
        <w:t>145,71</w:t>
      </w:r>
      <w:r w:rsidRPr="00FF7E8C">
        <w:rPr>
          <w:rFonts w:ascii="Arial" w:hAnsi="Arial" w:cs="Arial"/>
        </w:rPr>
        <w:t xml:space="preserve"> € a u 2024. godini </w:t>
      </w:r>
      <w:r w:rsidR="00530125" w:rsidRPr="00FF7E8C">
        <w:rPr>
          <w:rFonts w:ascii="Arial" w:hAnsi="Arial" w:cs="Arial"/>
        </w:rPr>
        <w:t>216,32 €. Razlog već</w:t>
      </w:r>
      <w:r w:rsidRPr="00FF7E8C">
        <w:rPr>
          <w:rFonts w:ascii="Arial" w:hAnsi="Arial" w:cs="Arial"/>
        </w:rPr>
        <w:t xml:space="preserve">eg izvršenja u 2024. u odnosu na 2023. je </w:t>
      </w:r>
      <w:r w:rsidR="00530125" w:rsidRPr="00FF7E8C">
        <w:rPr>
          <w:rFonts w:ascii="Arial" w:hAnsi="Arial" w:cs="Arial"/>
        </w:rPr>
        <w:t>već</w:t>
      </w:r>
      <w:r w:rsidRPr="00FF7E8C">
        <w:rPr>
          <w:rFonts w:ascii="Arial" w:hAnsi="Arial" w:cs="Arial"/>
        </w:rPr>
        <w:t>a potreba za istim.</w:t>
      </w:r>
    </w:p>
    <w:p w:rsidR="00B35627" w:rsidRPr="00FF7E8C" w:rsidRDefault="00B35627" w:rsidP="00B35627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bankarske usluge u 2023. godini utrošeno je </w:t>
      </w:r>
      <w:r w:rsidR="00530125" w:rsidRPr="00FF7E8C">
        <w:rPr>
          <w:rFonts w:ascii="Arial" w:hAnsi="Arial" w:cs="Arial"/>
        </w:rPr>
        <w:t>1.562</w:t>
      </w:r>
      <w:r w:rsidRPr="00FF7E8C">
        <w:rPr>
          <w:rFonts w:ascii="Arial" w:hAnsi="Arial" w:cs="Arial"/>
        </w:rPr>
        <w:t xml:space="preserve">,00 € a u 2024. godini </w:t>
      </w:r>
      <w:r w:rsidR="00530125" w:rsidRPr="00FF7E8C">
        <w:rPr>
          <w:rFonts w:ascii="Arial" w:hAnsi="Arial" w:cs="Arial"/>
        </w:rPr>
        <w:t>1.496,32 €. Razlog manj</w:t>
      </w:r>
      <w:r w:rsidRPr="00FF7E8C">
        <w:rPr>
          <w:rFonts w:ascii="Arial" w:hAnsi="Arial" w:cs="Arial"/>
        </w:rPr>
        <w:t xml:space="preserve">eg izvršenja u 2024. u odnosu na 2023. je </w:t>
      </w:r>
      <w:r w:rsidR="00530125" w:rsidRPr="00FF7E8C">
        <w:rPr>
          <w:rFonts w:ascii="Arial" w:hAnsi="Arial" w:cs="Arial"/>
        </w:rPr>
        <w:t>manji priljev novčanih sredstava po računima.</w:t>
      </w:r>
    </w:p>
    <w:p w:rsidR="00530125" w:rsidRPr="00FF7E8C" w:rsidRDefault="00530125" w:rsidP="0053012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usluge telefona i pošte u 2023. godini utrošeno je 71.006,33 € a u 2024. godini 94.789,72 €. Razlog većeg izvršenja u 2024. u odnosu na 2023. je veći broj poslanih pismena.</w:t>
      </w:r>
    </w:p>
    <w:p w:rsidR="00656B35" w:rsidRPr="00FF7E8C" w:rsidRDefault="00656B35" w:rsidP="00656B3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kamate za primljene zajmove u 2023. godini utrošeno je 653,79 € a u 2024. godini 502,72 €. Razlog manjeg izvršenja u 2024. u odnosu na 2023. je otplata leasinga OTP-u za službeno vozil</w:t>
      </w:r>
      <w:r w:rsidR="0057678D" w:rsidRPr="00FF7E8C">
        <w:rPr>
          <w:rFonts w:ascii="Arial" w:hAnsi="Arial" w:cs="Arial"/>
        </w:rPr>
        <w:t>o</w:t>
      </w:r>
      <w:r w:rsidRPr="00FF7E8C">
        <w:rPr>
          <w:rFonts w:ascii="Arial" w:hAnsi="Arial" w:cs="Arial"/>
        </w:rPr>
        <w:t xml:space="preserve"> te se one smanjuju s otplatom.</w:t>
      </w:r>
    </w:p>
    <w:p w:rsidR="00656B35" w:rsidRPr="00FF7E8C" w:rsidRDefault="00656B35" w:rsidP="00656B3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nabavu postrojenja i opreme nefinancijske imovine u 2023. godini utrošeno je 11.513,66 € a u 2024. godini 8.338,05 €. Razlog manjeg izvršenja u 2024. u odnosu na 2023. je manja potreba za nabavom iste.</w:t>
      </w:r>
    </w:p>
    <w:p w:rsidR="00656B35" w:rsidRPr="00FF7E8C" w:rsidRDefault="00656B35" w:rsidP="00656B35">
      <w:pPr>
        <w:pStyle w:val="Odlomakpopisa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prijevozna sredstva u cestovnom prometu za službeno vozilo u 2023. godini utrošeno je 3.325,89 € a u 2024. godini </w:t>
      </w:r>
      <w:r w:rsidR="0057678D" w:rsidRPr="00FF7E8C">
        <w:rPr>
          <w:rFonts w:ascii="Arial" w:hAnsi="Arial" w:cs="Arial"/>
        </w:rPr>
        <w:t>3.476,96</w:t>
      </w:r>
      <w:r w:rsidRPr="00FF7E8C">
        <w:rPr>
          <w:rFonts w:ascii="Arial" w:hAnsi="Arial" w:cs="Arial"/>
        </w:rPr>
        <w:t xml:space="preserve"> €. Razlog </w:t>
      </w:r>
      <w:r w:rsidR="0057678D" w:rsidRPr="00FF7E8C">
        <w:rPr>
          <w:rFonts w:ascii="Arial" w:hAnsi="Arial" w:cs="Arial"/>
        </w:rPr>
        <w:t>već</w:t>
      </w:r>
      <w:r w:rsidRPr="00FF7E8C">
        <w:rPr>
          <w:rFonts w:ascii="Arial" w:hAnsi="Arial" w:cs="Arial"/>
        </w:rPr>
        <w:t>eg izvršenja u 2024. u odnosu na 2023. je otplata leasinga OTP-u za službeno vozil</w:t>
      </w:r>
      <w:r w:rsidR="0057678D" w:rsidRPr="00FF7E8C">
        <w:rPr>
          <w:rFonts w:ascii="Arial" w:hAnsi="Arial" w:cs="Arial"/>
        </w:rPr>
        <w:t>o prema planu otplate.</w:t>
      </w:r>
    </w:p>
    <w:p w:rsidR="00656B35" w:rsidRPr="00FF7E8C" w:rsidRDefault="00656B35" w:rsidP="0057678D">
      <w:pPr>
        <w:pStyle w:val="Odlomakpopisa"/>
        <w:spacing w:after="160"/>
        <w:jc w:val="both"/>
        <w:rPr>
          <w:rFonts w:ascii="Arial" w:hAnsi="Arial" w:cs="Arial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Tekuće održavanje</w:t>
      </w: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</w:rPr>
        <w:t xml:space="preserve">U zgradu Općinskog suda u Metkoviću smještena su još i državna tijela Općinsko državno odvjetništvo u Metkoviću te Državna geodetska uprava te sud snosi troškove tekućeg održavanja građevinskog objekta za redovna atestiranja, popravke klima uređaja, video nadzore, vatrodojavu i sl. Općinski sud u Metkoviću snosi i troškove tekućeg održavanja u stalnim službama suda u Pločama i Vrgorcu. </w:t>
      </w:r>
    </w:p>
    <w:p w:rsidR="00530125" w:rsidRPr="00FF7E8C" w:rsidRDefault="00530125" w:rsidP="0053012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Za tekuće i investicijsko održavanje opreme u 2023. godini utrošeno je </w:t>
      </w:r>
      <w:r w:rsidR="00656B35" w:rsidRPr="00FF7E8C">
        <w:rPr>
          <w:rFonts w:ascii="Arial" w:hAnsi="Arial" w:cs="Arial"/>
        </w:rPr>
        <w:t>7.026,35</w:t>
      </w:r>
      <w:r w:rsidRPr="00FF7E8C">
        <w:rPr>
          <w:rFonts w:ascii="Arial" w:hAnsi="Arial" w:cs="Arial"/>
        </w:rPr>
        <w:t xml:space="preserve"> € a u 2024. godini 1</w:t>
      </w:r>
      <w:r w:rsidR="00656B35" w:rsidRPr="00FF7E8C">
        <w:rPr>
          <w:rFonts w:ascii="Arial" w:hAnsi="Arial" w:cs="Arial"/>
        </w:rPr>
        <w:t>3.150,06</w:t>
      </w:r>
      <w:r w:rsidRPr="00FF7E8C">
        <w:rPr>
          <w:rFonts w:ascii="Arial" w:hAnsi="Arial" w:cs="Arial"/>
        </w:rPr>
        <w:t xml:space="preserve"> €. Razlog većeg izvršenja u 2024. u odnosu na 2023. je veća potreba za istim.</w:t>
      </w:r>
    </w:p>
    <w:p w:rsidR="00530125" w:rsidRPr="00FF7E8C" w:rsidRDefault="00530125" w:rsidP="00530125">
      <w:pPr>
        <w:jc w:val="both"/>
        <w:rPr>
          <w:rFonts w:ascii="Arial" w:hAnsi="Arial" w:cs="Arial"/>
          <w:b/>
        </w:rPr>
      </w:pPr>
    </w:p>
    <w:p w:rsidR="00325998" w:rsidRPr="00FF7E8C" w:rsidRDefault="00325998" w:rsidP="00530125">
      <w:pPr>
        <w:jc w:val="both"/>
        <w:rPr>
          <w:rFonts w:ascii="Arial" w:hAnsi="Arial" w:cs="Arial"/>
          <w:b/>
        </w:rPr>
      </w:pPr>
    </w:p>
    <w:p w:rsidR="00325998" w:rsidRPr="00FF7E8C" w:rsidRDefault="00325998" w:rsidP="00530125">
      <w:pPr>
        <w:jc w:val="both"/>
        <w:rPr>
          <w:rFonts w:ascii="Arial" w:hAnsi="Arial" w:cs="Arial"/>
          <w:b/>
        </w:rPr>
      </w:pPr>
    </w:p>
    <w:p w:rsidR="00325998" w:rsidRPr="00FF7E8C" w:rsidRDefault="00325998" w:rsidP="00530125">
      <w:pPr>
        <w:jc w:val="both"/>
        <w:rPr>
          <w:rFonts w:ascii="Arial" w:hAnsi="Arial" w:cs="Arial"/>
          <w:b/>
        </w:rPr>
      </w:pP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Vlastiti prihodi</w:t>
      </w:r>
    </w:p>
    <w:p w:rsidR="00530125" w:rsidRPr="00FF7E8C" w:rsidRDefault="00530125" w:rsidP="00530125">
      <w:pPr>
        <w:jc w:val="both"/>
        <w:rPr>
          <w:rFonts w:ascii="Arial" w:hAnsi="Arial" w:cs="Arial"/>
          <w:b/>
          <w:u w:val="single"/>
        </w:rPr>
      </w:pPr>
    </w:p>
    <w:p w:rsidR="00530125" w:rsidRPr="00FF7E8C" w:rsidRDefault="00530125" w:rsidP="0053012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Vlastiti prihodi se ostvaruju od kopiranja spisa na zahtjev stranke uz odobrenje dužnosnika.</w:t>
      </w:r>
    </w:p>
    <w:p w:rsidR="00530125" w:rsidRPr="00FF7E8C" w:rsidRDefault="00530125" w:rsidP="0053012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Na osnovu fotokopiranja ostvareno je </w:t>
      </w:r>
      <w:r w:rsidR="00C237C8" w:rsidRPr="00FF7E8C">
        <w:rPr>
          <w:rFonts w:ascii="Arial" w:hAnsi="Arial" w:cs="Arial"/>
        </w:rPr>
        <w:t xml:space="preserve">prihoda </w:t>
      </w:r>
      <w:r w:rsidRPr="00FF7E8C">
        <w:rPr>
          <w:rFonts w:ascii="Arial" w:hAnsi="Arial" w:cs="Arial"/>
        </w:rPr>
        <w:t xml:space="preserve">u 2023. godini </w:t>
      </w:r>
      <w:r w:rsidR="00656B35" w:rsidRPr="00FF7E8C">
        <w:rPr>
          <w:rFonts w:ascii="Arial" w:hAnsi="Arial" w:cs="Arial"/>
        </w:rPr>
        <w:t>213,22</w:t>
      </w:r>
      <w:r w:rsidRPr="00FF7E8C">
        <w:rPr>
          <w:rFonts w:ascii="Arial" w:hAnsi="Arial" w:cs="Arial"/>
        </w:rPr>
        <w:t xml:space="preserve"> € a u 2024. godini </w:t>
      </w:r>
      <w:r w:rsidR="00656B35" w:rsidRPr="00FF7E8C">
        <w:rPr>
          <w:rFonts w:ascii="Arial" w:hAnsi="Arial" w:cs="Arial"/>
        </w:rPr>
        <w:t>13,30</w:t>
      </w:r>
      <w:r w:rsidRPr="00FF7E8C">
        <w:rPr>
          <w:rFonts w:ascii="Arial" w:hAnsi="Arial" w:cs="Arial"/>
        </w:rPr>
        <w:t xml:space="preserve"> €. </w:t>
      </w:r>
    </w:p>
    <w:p w:rsidR="00B42EE7" w:rsidRPr="00FF7E8C" w:rsidRDefault="00530125" w:rsidP="00656B3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Vlastiti prihodi su uplaćeni na državni proračun i u cijelosti povuč</w:t>
      </w:r>
      <w:r w:rsidR="00656B35" w:rsidRPr="00FF7E8C">
        <w:rPr>
          <w:rFonts w:ascii="Arial" w:hAnsi="Arial" w:cs="Arial"/>
        </w:rPr>
        <w:t>eni na redovan račun te su isti utrošeni na uredski materijal.</w:t>
      </w:r>
    </w:p>
    <w:p w:rsidR="00624D1C" w:rsidRPr="00FF7E8C" w:rsidRDefault="00624D1C" w:rsidP="00656B35">
      <w:pPr>
        <w:jc w:val="both"/>
        <w:rPr>
          <w:rFonts w:ascii="Arial" w:hAnsi="Arial" w:cs="Arial"/>
        </w:rPr>
      </w:pPr>
    </w:p>
    <w:p w:rsidR="00656B35" w:rsidRPr="00FF7E8C" w:rsidRDefault="00656B35" w:rsidP="00656B35">
      <w:pPr>
        <w:jc w:val="both"/>
        <w:rPr>
          <w:rFonts w:ascii="Arial" w:hAnsi="Arial" w:cs="Arial"/>
        </w:rPr>
      </w:pPr>
    </w:p>
    <w:p w:rsidR="00656B35" w:rsidRPr="00FF7E8C" w:rsidRDefault="00656B35" w:rsidP="00656B35">
      <w:pPr>
        <w:jc w:val="both"/>
        <w:rPr>
          <w:rFonts w:ascii="Arial" w:hAnsi="Arial" w:cs="Arial"/>
          <w:b/>
          <w:u w:val="single"/>
        </w:rPr>
      </w:pPr>
      <w:r w:rsidRPr="00FF7E8C">
        <w:rPr>
          <w:rFonts w:ascii="Arial" w:hAnsi="Arial" w:cs="Arial"/>
          <w:b/>
          <w:u w:val="single"/>
        </w:rPr>
        <w:t>Ostale pomoći – Izvor 52</w:t>
      </w:r>
    </w:p>
    <w:p w:rsidR="00656B35" w:rsidRPr="00FF7E8C" w:rsidRDefault="00656B35" w:rsidP="00656B35">
      <w:pPr>
        <w:jc w:val="both"/>
        <w:rPr>
          <w:rFonts w:ascii="Arial" w:hAnsi="Arial" w:cs="Arial"/>
          <w:b/>
          <w:u w:val="single"/>
        </w:rPr>
      </w:pPr>
    </w:p>
    <w:p w:rsidR="00656B35" w:rsidRPr="00FF7E8C" w:rsidRDefault="00656B35" w:rsidP="00656B3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Općinski sud u Metkovići je sklopio sporazume o sufinanciranju obnove zemljišnih knjiga sa gradovima Metković, Ploče i Vrgorac te općinama iz svog djelokruga. Iz sredstava koje doznače općine i gradovi pokrivati će se troškovi nastali na izlaganju katastarskih općina u smislu uredskih i higijenskih troškova te isplate naknada za zemljišno knjižne referente, kao i druge troškove navedene u sporazumima.</w:t>
      </w:r>
    </w:p>
    <w:p w:rsidR="00656B35" w:rsidRPr="00FF7E8C" w:rsidRDefault="00656B35" w:rsidP="00656B35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Za isplatu naknade za ZK u 2023. godini utrošeno je 6.198,05 € a u 2024. godini 11.703,35 €. Razlog većeg izvršenja u 2024. u odnosu na 2023. je veći broj isplata</w:t>
      </w:r>
      <w:r w:rsidR="00325998" w:rsidRPr="00FF7E8C">
        <w:rPr>
          <w:rFonts w:ascii="Arial" w:hAnsi="Arial" w:cs="Arial"/>
        </w:rPr>
        <w:t xml:space="preserve"> </w:t>
      </w:r>
      <w:r w:rsidR="00D220A1">
        <w:rPr>
          <w:rFonts w:ascii="Arial" w:hAnsi="Arial" w:cs="Arial"/>
        </w:rPr>
        <w:t>ZK sutkinji</w:t>
      </w:r>
      <w:r w:rsidR="00325998" w:rsidRPr="00FF7E8C">
        <w:rPr>
          <w:rFonts w:ascii="Arial" w:hAnsi="Arial" w:cs="Arial"/>
        </w:rPr>
        <w:t xml:space="preserve"> i ZK</w:t>
      </w:r>
      <w:bookmarkStart w:id="0" w:name="_GoBack"/>
      <w:bookmarkEnd w:id="0"/>
      <w:r w:rsidR="00325998" w:rsidRPr="00FF7E8C">
        <w:rPr>
          <w:rFonts w:ascii="Arial" w:hAnsi="Arial" w:cs="Arial"/>
        </w:rPr>
        <w:t xml:space="preserve"> referentima na izlaganju</w:t>
      </w:r>
      <w:r w:rsidRPr="00FF7E8C">
        <w:rPr>
          <w:rFonts w:ascii="Arial" w:hAnsi="Arial" w:cs="Arial"/>
        </w:rPr>
        <w:t>.</w:t>
      </w:r>
    </w:p>
    <w:p w:rsidR="00656B35" w:rsidRPr="00FF7E8C" w:rsidRDefault="00656B35" w:rsidP="00656B35">
      <w:pPr>
        <w:jc w:val="both"/>
        <w:rPr>
          <w:rFonts w:ascii="Arial" w:hAnsi="Arial" w:cs="Arial"/>
          <w:color w:val="FF0000"/>
        </w:rPr>
      </w:pPr>
    </w:p>
    <w:p w:rsidR="00B42EE7" w:rsidRPr="00FF7E8C" w:rsidRDefault="00B42EE7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325998">
      <w:pPr>
        <w:tabs>
          <w:tab w:val="left" w:pos="6375"/>
        </w:tabs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U Metkoviću, 20. ožujka 2025. godine</w:t>
      </w: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325998" w:rsidRPr="00FF7E8C" w:rsidRDefault="00325998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64592F" w:rsidRPr="00FF7E8C" w:rsidRDefault="0064592F" w:rsidP="0064592F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>Voditeljica</w:t>
      </w:r>
      <w:r w:rsidR="008D7356" w:rsidRPr="00FF7E8C">
        <w:rPr>
          <w:rFonts w:ascii="Arial" w:hAnsi="Arial" w:cs="Arial"/>
        </w:rPr>
        <w:t xml:space="preserve"> odjel</w:t>
      </w:r>
      <w:r w:rsidRPr="00FF7E8C">
        <w:rPr>
          <w:rFonts w:ascii="Arial" w:hAnsi="Arial" w:cs="Arial"/>
        </w:rPr>
        <w:t>a materijalno</w:t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  <w:t>Zakonski predstavnik</w:t>
      </w:r>
    </w:p>
    <w:p w:rsidR="0064592F" w:rsidRPr="00FF7E8C" w:rsidRDefault="0064592F" w:rsidP="0064592F">
      <w:pPr>
        <w:rPr>
          <w:rFonts w:ascii="Arial" w:hAnsi="Arial" w:cs="Arial"/>
        </w:rPr>
      </w:pPr>
      <w:r w:rsidRPr="00FF7E8C">
        <w:rPr>
          <w:rFonts w:ascii="Arial" w:hAnsi="Arial" w:cs="Arial"/>
        </w:rPr>
        <w:t>financijskih poslova</w:t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  <w:t xml:space="preserve">                                          predsjednica Općinskog suda                           </w:t>
      </w:r>
    </w:p>
    <w:p w:rsidR="0064592F" w:rsidRPr="00FF7E8C" w:rsidRDefault="0064592F" w:rsidP="0064592F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</w:rPr>
        <w:tab/>
      </w:r>
    </w:p>
    <w:p w:rsidR="0064592F" w:rsidRPr="00FF7E8C" w:rsidRDefault="0064592F" w:rsidP="0064592F">
      <w:pPr>
        <w:jc w:val="both"/>
        <w:rPr>
          <w:rFonts w:ascii="Arial" w:hAnsi="Arial" w:cs="Arial"/>
        </w:rPr>
      </w:pPr>
    </w:p>
    <w:p w:rsidR="0064592F" w:rsidRPr="00FF7E8C" w:rsidRDefault="0064592F" w:rsidP="0064592F">
      <w:pPr>
        <w:jc w:val="both"/>
        <w:rPr>
          <w:rFonts w:ascii="Arial" w:hAnsi="Arial" w:cs="Arial"/>
        </w:rPr>
      </w:pPr>
      <w:r w:rsidRPr="00FF7E8C">
        <w:rPr>
          <w:rFonts w:ascii="Arial" w:hAnsi="Arial" w:cs="Arial"/>
        </w:rPr>
        <w:t xml:space="preserve"> _____________________                 MP                    ______________________         </w:t>
      </w:r>
    </w:p>
    <w:p w:rsidR="0064592F" w:rsidRPr="00FF7E8C" w:rsidRDefault="0064592F" w:rsidP="0064592F">
      <w:pPr>
        <w:jc w:val="both"/>
        <w:rPr>
          <w:rFonts w:ascii="Arial" w:hAnsi="Arial" w:cs="Arial"/>
          <w:color w:val="FF0000"/>
        </w:rPr>
      </w:pPr>
      <w:r w:rsidRPr="00FF7E8C">
        <w:rPr>
          <w:rFonts w:ascii="Arial" w:hAnsi="Arial" w:cs="Arial"/>
        </w:rPr>
        <w:t xml:space="preserve">          Ivana Herceg                                                              Marijana Zloić-Talajić</w:t>
      </w:r>
      <w:r w:rsidRPr="00FF7E8C">
        <w:rPr>
          <w:rFonts w:ascii="Arial" w:hAnsi="Arial" w:cs="Arial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</w:p>
    <w:p w:rsidR="0004479E" w:rsidRPr="00FF7E8C" w:rsidRDefault="0004479E" w:rsidP="0064592F">
      <w:pPr>
        <w:jc w:val="both"/>
        <w:rPr>
          <w:rFonts w:ascii="Arial" w:hAnsi="Arial" w:cs="Arial"/>
          <w:color w:val="FF0000"/>
        </w:rPr>
      </w:pP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</w:r>
      <w:r w:rsidRPr="00FF7E8C">
        <w:rPr>
          <w:rFonts w:ascii="Arial" w:hAnsi="Arial" w:cs="Arial"/>
          <w:color w:val="FF0000"/>
        </w:rPr>
        <w:tab/>
        <w:t xml:space="preserve"> </w:t>
      </w:r>
    </w:p>
    <w:sectPr w:rsidR="0004479E" w:rsidRPr="00FF7E8C" w:rsidSect="00396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C1" w:rsidRDefault="00391BC1" w:rsidP="0064592F">
      <w:r>
        <w:separator/>
      </w:r>
    </w:p>
  </w:endnote>
  <w:endnote w:type="continuationSeparator" w:id="0">
    <w:p w:rsidR="00391BC1" w:rsidRDefault="00391BC1" w:rsidP="006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E7" w:rsidRDefault="00B42EE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0"/>
      <w:gridCol w:w="4858"/>
    </w:tblGrid>
    <w:tr w:rsidR="0064592F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4592F" w:rsidRPr="0064592F" w:rsidRDefault="0064592F">
          <w:pPr>
            <w:pStyle w:val="Zaglavlje"/>
            <w:rPr>
              <w:rFonts w:ascii="Arial" w:hAnsi="Arial" w:cs="Arial"/>
              <w:caps/>
              <w:sz w:val="20"/>
              <w:szCs w:val="20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4592F" w:rsidRDefault="0064592F">
          <w:pPr>
            <w:pStyle w:val="Zaglavlje"/>
            <w:jc w:val="right"/>
            <w:rPr>
              <w:caps/>
              <w:sz w:val="18"/>
            </w:rPr>
          </w:pPr>
        </w:p>
      </w:tc>
    </w:tr>
    <w:tr w:rsidR="0064592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F4EC963432B430293CBE369A040725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4592F" w:rsidRDefault="0064592F" w:rsidP="0064592F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OPĆINSKI SUD U METKOVIĆU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4592F" w:rsidRDefault="0064592F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6ED7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4592F" w:rsidRDefault="0064592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E7" w:rsidRDefault="00B42E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C1" w:rsidRDefault="00391BC1" w:rsidP="0064592F">
      <w:r>
        <w:separator/>
      </w:r>
    </w:p>
  </w:footnote>
  <w:footnote w:type="continuationSeparator" w:id="0">
    <w:p w:rsidR="00391BC1" w:rsidRDefault="00391BC1" w:rsidP="0064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E7" w:rsidRDefault="00B42EE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E7" w:rsidRPr="001B0694" w:rsidRDefault="00B42EE7" w:rsidP="00B42EE7">
    <w:pPr>
      <w:pStyle w:val="Zaglavlje"/>
      <w:jc w:val="cen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 xml:space="preserve">Godišnji izvještaj o izvršenju financijskog plana </w:t>
    </w:r>
    <w:r w:rsidRPr="001B0694">
      <w:rPr>
        <w:rFonts w:ascii="Arial" w:hAnsi="Arial" w:cs="Arial"/>
        <w:color w:val="A6A6A6" w:themeColor="background1" w:themeShade="A6"/>
        <w:sz w:val="20"/>
      </w:rPr>
      <w:t>202</w:t>
    </w:r>
    <w:r>
      <w:rPr>
        <w:rFonts w:ascii="Arial" w:hAnsi="Arial" w:cs="Arial"/>
        <w:color w:val="A6A6A6" w:themeColor="background1" w:themeShade="A6"/>
        <w:sz w:val="20"/>
      </w:rPr>
      <w:t>4</w:t>
    </w:r>
    <w:r w:rsidRPr="001B0694">
      <w:rPr>
        <w:rFonts w:ascii="Arial" w:hAnsi="Arial" w:cs="Arial"/>
        <w:color w:val="A6A6A6" w:themeColor="background1" w:themeShade="A6"/>
        <w:sz w:val="20"/>
      </w:rPr>
      <w:t>.</w:t>
    </w:r>
  </w:p>
  <w:p w:rsidR="0064592F" w:rsidRDefault="00645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E7" w:rsidRDefault="00B42E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B15"/>
    <w:multiLevelType w:val="hybridMultilevel"/>
    <w:tmpl w:val="D1F0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B5B"/>
    <w:multiLevelType w:val="hybridMultilevel"/>
    <w:tmpl w:val="79CAA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98C"/>
    <w:multiLevelType w:val="multilevel"/>
    <w:tmpl w:val="F2287D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384E7C"/>
    <w:multiLevelType w:val="hybridMultilevel"/>
    <w:tmpl w:val="FDDA5814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045D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644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E32C5F"/>
    <w:multiLevelType w:val="hybridMultilevel"/>
    <w:tmpl w:val="3C0E7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E1675"/>
    <w:multiLevelType w:val="hybridMultilevel"/>
    <w:tmpl w:val="71FC3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72F2D"/>
    <w:multiLevelType w:val="hybridMultilevel"/>
    <w:tmpl w:val="F3F4A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46167"/>
    <w:multiLevelType w:val="hybridMultilevel"/>
    <w:tmpl w:val="38EAF1F6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045D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26E82"/>
    <w:multiLevelType w:val="hybridMultilevel"/>
    <w:tmpl w:val="6E98598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52C5"/>
    <w:multiLevelType w:val="hybridMultilevel"/>
    <w:tmpl w:val="421C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93BDB"/>
    <w:multiLevelType w:val="hybridMultilevel"/>
    <w:tmpl w:val="CE2C0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3DD4F93"/>
    <w:multiLevelType w:val="hybridMultilevel"/>
    <w:tmpl w:val="85E05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111A7"/>
    <w:multiLevelType w:val="hybridMultilevel"/>
    <w:tmpl w:val="A5A4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804A9"/>
    <w:multiLevelType w:val="multilevel"/>
    <w:tmpl w:val="E07C9B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10"/>
  </w:num>
  <w:num w:numId="17">
    <w:abstractNumId w:val="19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04D27"/>
    <w:rsid w:val="00024CB2"/>
    <w:rsid w:val="00040A0C"/>
    <w:rsid w:val="0004479E"/>
    <w:rsid w:val="000646E2"/>
    <w:rsid w:val="00077BED"/>
    <w:rsid w:val="0008344A"/>
    <w:rsid w:val="00094B71"/>
    <w:rsid w:val="000A1AA8"/>
    <w:rsid w:val="000D147D"/>
    <w:rsid w:val="001022D8"/>
    <w:rsid w:val="00153ACA"/>
    <w:rsid w:val="00170EE3"/>
    <w:rsid w:val="001839AC"/>
    <w:rsid w:val="001A6CCB"/>
    <w:rsid w:val="0024537B"/>
    <w:rsid w:val="002558B0"/>
    <w:rsid w:val="00272DE3"/>
    <w:rsid w:val="002A6868"/>
    <w:rsid w:val="002D2948"/>
    <w:rsid w:val="002D6256"/>
    <w:rsid w:val="002F426B"/>
    <w:rsid w:val="00307CB5"/>
    <w:rsid w:val="00311289"/>
    <w:rsid w:val="003164A7"/>
    <w:rsid w:val="00325998"/>
    <w:rsid w:val="003801D0"/>
    <w:rsid w:val="00383810"/>
    <w:rsid w:val="00386486"/>
    <w:rsid w:val="00391BC1"/>
    <w:rsid w:val="00396961"/>
    <w:rsid w:val="003B51D2"/>
    <w:rsid w:val="003B5CAD"/>
    <w:rsid w:val="003C022F"/>
    <w:rsid w:val="003C6838"/>
    <w:rsid w:val="003C712E"/>
    <w:rsid w:val="003D1BC9"/>
    <w:rsid w:val="003D5299"/>
    <w:rsid w:val="00420BAA"/>
    <w:rsid w:val="00465C0B"/>
    <w:rsid w:val="004B16BC"/>
    <w:rsid w:val="0051187E"/>
    <w:rsid w:val="00530125"/>
    <w:rsid w:val="0057678D"/>
    <w:rsid w:val="005E2D4C"/>
    <w:rsid w:val="005E6221"/>
    <w:rsid w:val="0060485D"/>
    <w:rsid w:val="00624D1C"/>
    <w:rsid w:val="0062711C"/>
    <w:rsid w:val="00630615"/>
    <w:rsid w:val="00642848"/>
    <w:rsid w:val="0064592F"/>
    <w:rsid w:val="00656B35"/>
    <w:rsid w:val="006627A1"/>
    <w:rsid w:val="00692A01"/>
    <w:rsid w:val="00744062"/>
    <w:rsid w:val="007516B0"/>
    <w:rsid w:val="007B2316"/>
    <w:rsid w:val="007B5CFF"/>
    <w:rsid w:val="007C0C27"/>
    <w:rsid w:val="007C321E"/>
    <w:rsid w:val="007D1FCD"/>
    <w:rsid w:val="0080034E"/>
    <w:rsid w:val="00821425"/>
    <w:rsid w:val="008314AA"/>
    <w:rsid w:val="008A2721"/>
    <w:rsid w:val="008A5F8D"/>
    <w:rsid w:val="008B1D45"/>
    <w:rsid w:val="008B6727"/>
    <w:rsid w:val="008D2078"/>
    <w:rsid w:val="008D7356"/>
    <w:rsid w:val="00907D7C"/>
    <w:rsid w:val="00932DE1"/>
    <w:rsid w:val="009927C3"/>
    <w:rsid w:val="009A4C4E"/>
    <w:rsid w:val="009A5698"/>
    <w:rsid w:val="009C4EDD"/>
    <w:rsid w:val="009E2679"/>
    <w:rsid w:val="009E366D"/>
    <w:rsid w:val="00A15127"/>
    <w:rsid w:val="00A20A84"/>
    <w:rsid w:val="00A25CDD"/>
    <w:rsid w:val="00A41E14"/>
    <w:rsid w:val="00A44ADF"/>
    <w:rsid w:val="00A56366"/>
    <w:rsid w:val="00AA2796"/>
    <w:rsid w:val="00AA3E94"/>
    <w:rsid w:val="00AB12CF"/>
    <w:rsid w:val="00AC5A3F"/>
    <w:rsid w:val="00AC7BDF"/>
    <w:rsid w:val="00AE44C8"/>
    <w:rsid w:val="00B35627"/>
    <w:rsid w:val="00B42EE7"/>
    <w:rsid w:val="00B75B18"/>
    <w:rsid w:val="00B9419C"/>
    <w:rsid w:val="00C1726C"/>
    <w:rsid w:val="00C237C8"/>
    <w:rsid w:val="00C45FC9"/>
    <w:rsid w:val="00C666A5"/>
    <w:rsid w:val="00C808AF"/>
    <w:rsid w:val="00CA4E8A"/>
    <w:rsid w:val="00CA5812"/>
    <w:rsid w:val="00CD1195"/>
    <w:rsid w:val="00CD68D4"/>
    <w:rsid w:val="00D11694"/>
    <w:rsid w:val="00D16959"/>
    <w:rsid w:val="00D220A1"/>
    <w:rsid w:val="00D713B9"/>
    <w:rsid w:val="00DB052E"/>
    <w:rsid w:val="00DE0F30"/>
    <w:rsid w:val="00DF76F9"/>
    <w:rsid w:val="00E11635"/>
    <w:rsid w:val="00E73ACC"/>
    <w:rsid w:val="00ED5D70"/>
    <w:rsid w:val="00ED6484"/>
    <w:rsid w:val="00ED7F81"/>
    <w:rsid w:val="00EE6ED7"/>
    <w:rsid w:val="00F16148"/>
    <w:rsid w:val="00F178D8"/>
    <w:rsid w:val="00F220D4"/>
    <w:rsid w:val="00F452F3"/>
    <w:rsid w:val="00F652B5"/>
    <w:rsid w:val="00F82180"/>
    <w:rsid w:val="00FA4606"/>
    <w:rsid w:val="00FD4EE9"/>
    <w:rsid w:val="00FF3CF6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02D"/>
  <w15:docId w15:val="{09C9FD72-64CA-476A-8E00-91FBA5E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161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59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59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59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5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EC963432B430293CBE369A04072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3AF9B2-6655-40D5-A853-2271AD36DC07}"/>
      </w:docPartPr>
      <w:docPartBody>
        <w:p w:rsidR="00046809" w:rsidRDefault="004033B0" w:rsidP="004033B0">
          <w:pPr>
            <w:pStyle w:val="AF4EC963432B430293CBE369A040725A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B0"/>
    <w:rsid w:val="00046809"/>
    <w:rsid w:val="001F1F15"/>
    <w:rsid w:val="00275BB4"/>
    <w:rsid w:val="003F5483"/>
    <w:rsid w:val="004033B0"/>
    <w:rsid w:val="004252D7"/>
    <w:rsid w:val="004A4CED"/>
    <w:rsid w:val="0055081E"/>
    <w:rsid w:val="0083090E"/>
    <w:rsid w:val="009D7A47"/>
    <w:rsid w:val="009E6E9D"/>
    <w:rsid w:val="009F75FB"/>
    <w:rsid w:val="00A75C0F"/>
    <w:rsid w:val="00F3373F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77D910EB49D4CAE9766D5E423DB45F1">
    <w:name w:val="E77D910EB49D4CAE9766D5E423DB45F1"/>
    <w:rsid w:val="004033B0"/>
  </w:style>
  <w:style w:type="character" w:styleId="Tekstrezerviranogmjesta">
    <w:name w:val="Placeholder Text"/>
    <w:basedOn w:val="Zadanifontodlomka"/>
    <w:uiPriority w:val="99"/>
    <w:semiHidden/>
    <w:rsid w:val="004033B0"/>
    <w:rPr>
      <w:color w:val="808080"/>
    </w:rPr>
  </w:style>
  <w:style w:type="paragraph" w:customStyle="1" w:styleId="AF4EC963432B430293CBE369A040725A">
    <w:name w:val="AF4EC963432B430293CBE369A040725A"/>
    <w:rsid w:val="00403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OPĆINSKI SUD U METKOVIĆU</dc:creator>
  <cp:lastModifiedBy>Ivana Herceg</cp:lastModifiedBy>
  <cp:revision>34</cp:revision>
  <cp:lastPrinted>2025-03-20T09:47:00Z</cp:lastPrinted>
  <dcterms:created xsi:type="dcterms:W3CDTF">2023-01-30T08:16:00Z</dcterms:created>
  <dcterms:modified xsi:type="dcterms:W3CDTF">2025-03-20T10:15:00Z</dcterms:modified>
</cp:coreProperties>
</file>