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BD" w:rsidRDefault="005975BD" w:rsidP="005975BD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 xml:space="preserve">OBRAZLOŽENJE </w:t>
      </w:r>
      <w:r w:rsidR="005A5F23"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 xml:space="preserve">POSEBNOG </w:t>
      </w:r>
      <w:r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>D</w:t>
      </w:r>
      <w:r w:rsidR="00F26761"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>IJELA FINANCIJSKOG PLANA OD 2026-2028</w:t>
      </w:r>
      <w:r>
        <w:rPr>
          <w:rFonts w:ascii="Times New Roman" w:eastAsia="Times New Roman" w:hAnsi="Times New Roman" w:cs="Times New Roman"/>
          <w:b/>
          <w:sz w:val="36"/>
          <w:szCs w:val="36"/>
          <w:lang w:val="en-GB" w:eastAsia="hr-HR"/>
        </w:rPr>
        <w:t>.GODINE</w:t>
      </w:r>
    </w:p>
    <w:p w:rsidR="005975BD" w:rsidRDefault="005975BD" w:rsidP="005975BD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5975BD" w:rsidRDefault="005975BD" w:rsidP="005975BD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5975BD" w:rsidRDefault="005975BD" w:rsidP="005975BD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Naziv obveznika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>ŽUPANIJSKI SUD U PULI - POLA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  <w:t>Razina: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           11                                           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Poštanski broj: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52100                                              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>.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  <w:t>Razdjel: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        109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Mjesto:        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PULA                                               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ab/>
        <w:t xml:space="preserve">            RKDP: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         3445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Adresa sjedišta: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S.S.KRANJČEVIĆA 8                    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>.</w:t>
      </w: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       Šifra županije: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            18  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Žiro-račun:  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HR7323900011100012022            .   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Matični broj: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>03204138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 xml:space="preserve">                                       .</w:t>
      </w:r>
      <w:r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</w:t>
      </w:r>
      <w:r>
        <w:rPr>
          <w:rFonts w:ascii="Arial" w:eastAsia="Times New Roman" w:hAnsi="Arial" w:cs="Arial"/>
          <w:sz w:val="21"/>
          <w:szCs w:val="21"/>
          <w:lang w:eastAsia="hr-HR"/>
        </w:rPr>
        <w:tab/>
      </w:r>
      <w:r>
        <w:rPr>
          <w:rFonts w:ascii="Arial" w:eastAsia="Times New Roman" w:hAnsi="Arial" w:cs="Arial"/>
          <w:sz w:val="21"/>
          <w:szCs w:val="21"/>
          <w:lang w:eastAsia="hr-HR"/>
        </w:rPr>
        <w:tab/>
        <w:t xml:space="preserve">   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OIB:                     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>69281755283                                 .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Šifra djelatnosti:   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hr-HR"/>
        </w:rPr>
        <w:t xml:space="preserve">8423                                               </w:t>
      </w:r>
      <w:r>
        <w:rPr>
          <w:rFonts w:ascii="Arial" w:eastAsia="Times New Roman" w:hAnsi="Arial" w:cs="Arial"/>
          <w:sz w:val="21"/>
          <w:szCs w:val="21"/>
          <w:u w:val="single"/>
          <w:lang w:eastAsia="hr-HR"/>
        </w:rPr>
        <w:t>.</w:t>
      </w:r>
    </w:p>
    <w:p w:rsidR="005975BD" w:rsidRDefault="005975BD" w:rsidP="005975B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5975BD" w:rsidRDefault="005975BD" w:rsidP="005975BD">
      <w:pPr>
        <w:rPr>
          <w:rFonts w:ascii="Times New Roman" w:hAnsi="Times New Roman" w:cs="Times New Roman"/>
          <w:sz w:val="24"/>
          <w:szCs w:val="24"/>
        </w:rPr>
      </w:pPr>
    </w:p>
    <w:p w:rsidR="00173B9E" w:rsidRPr="00280FD1" w:rsidRDefault="00173B9E" w:rsidP="00173B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Default="00721BC6" w:rsidP="00721BC6">
      <w:pPr>
        <w:pStyle w:val="Standard"/>
        <w:jc w:val="center"/>
        <w:rPr>
          <w:rFonts w:ascii="Times New Roman" w:hAnsi="Times New Roman" w:cs="Times New Roman"/>
          <w:b/>
        </w:rPr>
      </w:pPr>
      <w:r w:rsidRPr="006300FA">
        <w:rPr>
          <w:rFonts w:ascii="Times New Roman" w:hAnsi="Times New Roman" w:cs="Times New Roman"/>
          <w:b/>
        </w:rPr>
        <w:t xml:space="preserve">OBRAZLOŽENJE </w:t>
      </w:r>
      <w:r w:rsidR="00E2172C" w:rsidRPr="006300FA">
        <w:rPr>
          <w:rFonts w:ascii="Times New Roman" w:hAnsi="Times New Roman" w:cs="Times New Roman"/>
          <w:b/>
        </w:rPr>
        <w:t>POSEBNOG</w:t>
      </w:r>
      <w:r w:rsidRPr="006300FA">
        <w:rPr>
          <w:rFonts w:ascii="Times New Roman" w:hAnsi="Times New Roman" w:cs="Times New Roman"/>
          <w:b/>
        </w:rPr>
        <w:t xml:space="preserve"> DIJELA FINANCIJSKOG PLANA</w:t>
      </w:r>
    </w:p>
    <w:p w:rsidR="006300FA" w:rsidRPr="006300FA" w:rsidRDefault="00F26761" w:rsidP="00721BC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2026.-2028</w:t>
      </w:r>
      <w:r w:rsidR="006300FA">
        <w:rPr>
          <w:rFonts w:ascii="Times New Roman" w:hAnsi="Times New Roman" w:cs="Times New Roman"/>
          <w:b/>
        </w:rPr>
        <w:t>. GODINU</w:t>
      </w: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  <w:r w:rsidRPr="00280FD1">
        <w:rPr>
          <w:rFonts w:ascii="Times New Roman" w:hAnsi="Times New Roman" w:cs="Times New Roman"/>
        </w:rPr>
        <w:tab/>
        <w:t>Sukladno čl. 36 Zakona o proračunu ( Narodne novine br. 144/21) proračunski i izvanproračunski korisnici dužni su uz prijed</w:t>
      </w:r>
      <w:r w:rsidR="00AC4409">
        <w:rPr>
          <w:rFonts w:ascii="Times New Roman" w:hAnsi="Times New Roman" w:cs="Times New Roman"/>
        </w:rPr>
        <w:t xml:space="preserve">log financijskog plana izraditi i </w:t>
      </w:r>
      <w:r w:rsidRPr="00280FD1">
        <w:rPr>
          <w:rFonts w:ascii="Times New Roman" w:hAnsi="Times New Roman" w:cs="Times New Roman"/>
        </w:rPr>
        <w:t xml:space="preserve">dostaviti obrazloženje </w:t>
      </w:r>
      <w:r w:rsidR="005212EF">
        <w:rPr>
          <w:rFonts w:ascii="Times New Roman" w:hAnsi="Times New Roman" w:cs="Times New Roman"/>
        </w:rPr>
        <w:t>posebnog</w:t>
      </w:r>
      <w:r w:rsidRPr="00280FD1">
        <w:rPr>
          <w:rFonts w:ascii="Times New Roman" w:hAnsi="Times New Roman" w:cs="Times New Roman"/>
        </w:rPr>
        <w:t xml:space="preserve"> dijela financijskog plana, kojeg dostavljamo u nastavku.</w:t>
      </w: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721BC6" w:rsidRPr="00325948" w:rsidRDefault="00F26761" w:rsidP="006300FA">
      <w:pPr>
        <w:pStyle w:val="Standard"/>
        <w:ind w:firstLine="708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2026</w:t>
      </w:r>
      <w:r w:rsidR="00E2172C" w:rsidRPr="00325948">
        <w:rPr>
          <w:rFonts w:ascii="Times New Roman" w:hAnsi="Times New Roman" w:cs="Times New Roman"/>
          <w:b/>
          <w:u w:val="single"/>
        </w:rPr>
        <w:t>. GODINA</w:t>
      </w:r>
    </w:p>
    <w:p w:rsidR="00721BC6" w:rsidRPr="00280FD1" w:rsidRDefault="00721BC6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7B5C98" w:rsidRDefault="00E2172C" w:rsidP="006300FA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7B5C98">
        <w:rPr>
          <w:rFonts w:ascii="Times New Roman" w:hAnsi="Times New Roman" w:cs="Times New Roman"/>
          <w:b/>
        </w:rPr>
        <w:t>Plaće i doprinosi:</w:t>
      </w: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351BA" w:rsidRDefault="00E2172C" w:rsidP="005C7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Ukupni predviđeni utrošak plaća i doprinosa dužnosnika, službenika i namještenika za </w:t>
      </w:r>
      <w:r w:rsidR="00F267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9351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proračunsku godinu iznosit </w:t>
      </w: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će </w:t>
      </w:r>
      <w:r w:rsidR="00F267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2.912.108,00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216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€</w:t>
      </w:r>
      <w:r w:rsidR="004D5E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plus doprinosi za zdravstveno osiguranje od 16,5%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</w:t>
      </w:r>
      <w:r w:rsidR="00F267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485.165,00 </w:t>
      </w:r>
      <w:r w:rsidR="005A5F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="003D3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Izračun 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3D3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rađen na temelju stvarno zaposlenih 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dan </w:t>
      </w:r>
      <w:r w:rsidR="00F267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kolovoza 2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025</w:t>
      </w: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i to</w:t>
      </w:r>
      <w:r w:rsidR="00D919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ukupno 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66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djelatnika od kojih 24</w:t>
      </w: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dužnosnika, 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namještenika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 vježbenika</w:t>
      </w:r>
      <w:r w:rsidR="005A5F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748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trenutno važećim osnovicama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ali i zaposlenja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još dva zapisničara, jednog savjetnika, 1 suca, 1 v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oditelja kaznene pisarnice, 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uzimajući u obzir da je jedan viši savjetnik-specijalist imenovan za suc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Općinskog suda u Puli-Pola, 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još tri osobe do kraja godine namj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eravaju otići u mirovinu te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edna osoba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je ostala na komplikacijama za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dugotrajno bolovanje</w:t>
      </w:r>
      <w:r w:rsidRPr="00E21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919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D3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919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trošak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rađen za puni fond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 za 2025</w:t>
      </w:r>
      <w:r w:rsidR="003D3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</w:t>
      </w:r>
      <w:r w:rsidR="00D919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uvećan za minuli rad svim djelatnicima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zimajući u obzir bolovanja te sukladno određenim limitima i Pravilniku o naknadama za dežurstvo sudaca, državnih odvjetnika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zamjenika državnih odvjetnika, 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2B1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 navedeno vodilo se računa na povećanje osnovice od 3%.</w:t>
      </w:r>
    </w:p>
    <w:p w:rsidR="005C772C" w:rsidRDefault="005C772C" w:rsidP="005C7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351BA" w:rsidRDefault="00E32AF5" w:rsidP="00E21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Plaće za prekovremeni rad planirane su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od 30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 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rad 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službenika u dežurstvima te dežuranja prilikom izvođenja radova, ali uzimajući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projekcije prijašnjih god</w:t>
      </w:r>
      <w:r w:rsidR="00893E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ina i sređivanje arhivske građe u iznosu od 6.480 eura.</w:t>
      </w:r>
    </w:p>
    <w:p w:rsidR="00831B42" w:rsidRDefault="00831B42" w:rsidP="00E21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31B42" w:rsidRDefault="00831B42" w:rsidP="00E21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E2172C" w:rsidRPr="007B5C98" w:rsidRDefault="00E2172C" w:rsidP="00580351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7B5C98">
        <w:rPr>
          <w:rFonts w:ascii="Times New Roman" w:hAnsi="Times New Roman" w:cs="Times New Roman"/>
          <w:b/>
        </w:rPr>
        <w:lastRenderedPageBreak/>
        <w:t>Ostali rashodi za zaposlene, prava ostvarena temeljem Kolektivnog ugovora:</w:t>
      </w:r>
    </w:p>
    <w:p w:rsidR="00E2172C" w:rsidRPr="007B5C98" w:rsidRDefault="00E2172C" w:rsidP="00721BC6">
      <w:pPr>
        <w:pStyle w:val="Standard"/>
        <w:jc w:val="both"/>
        <w:rPr>
          <w:rFonts w:ascii="Times New Roman" w:hAnsi="Times New Roman" w:cs="Times New Roman"/>
          <w:b/>
        </w:rPr>
      </w:pPr>
    </w:p>
    <w:p w:rsidR="007B5C98" w:rsidRDefault="00580351" w:rsidP="00470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za ostale rashode za zaposlene, koji obuhvaćaju jubilarne nagrade, regres, božićnicu, dar za djecu, otpre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mnine, te razne potpore,  u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iznosi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87.110,00 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Izračun za jubilarne nagrade rađen na temelju stvarnih podatka o djelatnicima. Regres, božićnica i dar za djecu planirani na temelju stvarnog broja zaposlenih službenika i namještenika</w:t>
      </w:r>
      <w:r w:rsidR="00AC44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ok su potpore planirane po 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procjeni ovisno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svaku vrstu tj. za pomoć u slučaju smrti, bolovanje duže od 90 dana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B5C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rođenje djeteta. Otpremnine su planirane prema broju djelatnika koji ostvaruju pravo na pun</w:t>
      </w:r>
      <w:r w:rsidR="00E842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mirovinu u narednom razdoblju te nova prava i povećanja</w:t>
      </w:r>
      <w:r w:rsidR="004473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postavljenog limita</w:t>
      </w:r>
      <w:r w:rsidR="00E842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B5C98" w:rsidRDefault="007B5C98" w:rsidP="00580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2172C" w:rsidRPr="00280FD1" w:rsidRDefault="00E2172C" w:rsidP="00721BC6">
      <w:pPr>
        <w:pStyle w:val="Standard"/>
        <w:jc w:val="both"/>
        <w:rPr>
          <w:rFonts w:ascii="Times New Roman" w:hAnsi="Times New Roman" w:cs="Times New Roman"/>
        </w:rPr>
      </w:pPr>
    </w:p>
    <w:p w:rsidR="00E2172C" w:rsidRPr="007B5C98" w:rsidRDefault="00E2172C" w:rsidP="007B5C98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7B5C98">
        <w:rPr>
          <w:rFonts w:ascii="Times New Roman" w:hAnsi="Times New Roman" w:cs="Times New Roman"/>
          <w:b/>
        </w:rPr>
        <w:t>Naknade za prijevoz za rad na terenu i odvojeni život: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FE15DA" w:rsidRDefault="00FE15DA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za isplatu</w:t>
      </w:r>
      <w:r w:rsidR="00FB2698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naknade za prijevoz s posla i na posao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2026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iznosi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75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</w:t>
      </w:r>
      <w:r w:rsidR="00831B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 B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aza za izračun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bila projekcija prijašnjih razdoblja 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aktualna Rješenja za 56</w:t>
      </w:r>
      <w:r w:rsidR="000C77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djelatnika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uzimajući u obzir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nove djelatnike te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je </w:t>
      </w:r>
      <w:r w:rsidR="00680F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moguće povećanje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C44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cijena 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autobusnih karata te troš</w:t>
      </w:r>
      <w:r w:rsidR="00EB19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 po prijeđenom kilometru koji</w:t>
      </w:r>
      <w:r w:rsidR="005C7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mjesečno mijenja ovisno o </w:t>
      </w:r>
      <w:r w:rsidR="00A52D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cijeni naftnih derivata, ali i mogućnosti seli</w:t>
      </w:r>
      <w:r w:rsidR="00680F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dbe, odnosno promjene boravišta pojedinih službenika te radovi na cestama koje bi pridonijeli povećanju troškova.</w:t>
      </w:r>
    </w:p>
    <w:p w:rsidR="004D4583" w:rsidRDefault="004D4583" w:rsidP="00FE15DA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</w:p>
    <w:p w:rsidR="00FB2698" w:rsidRPr="00FE15DA" w:rsidRDefault="00FB2698" w:rsidP="00FE15DA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FE15DA">
        <w:rPr>
          <w:rFonts w:ascii="Times New Roman" w:hAnsi="Times New Roman" w:cs="Times New Roman"/>
          <w:b/>
        </w:rPr>
        <w:t xml:space="preserve">Materijalni rashodi: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9351BA" w:rsidRDefault="00FB2698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plana proračuna za 2026.</w:t>
      </w:r>
      <w:r w:rsidR="00C268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napravljen je sukladno</w:t>
      </w:r>
      <w:r w:rsidR="008714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Uputi Ministarstva pravosuđa,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uprave</w:t>
      </w:r>
      <w:r w:rsidR="008714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digitalne transformacije te </w:t>
      </w:r>
      <w:r w:rsidR="008153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postavljenim limitima.</w:t>
      </w:r>
    </w:p>
    <w:p w:rsidR="008724D4" w:rsidRDefault="008724D4" w:rsidP="0093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4878" w:rsidRDefault="004D4583" w:rsidP="00D748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Od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većih odstupanja u odnosu na ranija razdoblja dolazi na slijedećim kontima:</w:t>
      </w:r>
    </w:p>
    <w:p w:rsidR="004D4583" w:rsidRDefault="008724D4" w:rsidP="00D748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           </w:t>
      </w:r>
      <w:r w:rsidR="00C268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0F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</w:t>
      </w:r>
      <w:r w:rsidR="00D748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-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3221- uredski materijal, zbog povećanja cijena uredskog materijala i papira</w:t>
      </w:r>
      <w:r w:rsidR="00C62A5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te</w:t>
      </w:r>
      <w:r w:rsidR="00CC6C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mogućih povećavanja troškova materija</w:t>
      </w:r>
      <w:r w:rsidR="00C62A5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la</w:t>
      </w:r>
      <w:r w:rsidR="00CC6C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za čišćenje i materijala za njegu, odnosno papirnatih ručnika i toaletnog papira zbog konstantnih povećanja cijena, odnosno inflacije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  <w:r w:rsidR="004D45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-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3223- energija, znatno povećanje cijena električne energije i energenata</w:t>
      </w:r>
      <w:r w:rsidR="00470B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te plaćanje lož ulja sukladno sporazumu o raspodijeli troškova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                                 </w:t>
      </w:r>
      <w:r w:rsidR="004D45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                      -</w:t>
      </w:r>
      <w:r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3231- </w:t>
      </w:r>
      <w:r w:rsidR="004D45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očekuje se porast poštanskih usluga zbog većeg priljeva predmeta</w:t>
      </w:r>
      <w:r w:rsidR="00470B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te moguće povećanje cijena usluga fiksnih i mobilnih linija</w:t>
      </w:r>
    </w:p>
    <w:p w:rsidR="00893E7C" w:rsidRDefault="00893E7C" w:rsidP="00D748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-3233</w:t>
      </w:r>
      <w:r w:rsidR="00D66F2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usluge promidžbe i informiranja- povećavanje zbog objava natječaja zbog zapošljavanja djelatnika, odnosno popune radnih mjesta zbog odlaska starijih djelatnika u mirovinu ili novog posla</w:t>
      </w:r>
    </w:p>
    <w:p w:rsidR="00893E7C" w:rsidRDefault="00893E7C" w:rsidP="00D748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-3234 komunalne usluge –porast troškova odvoza smeća, opskrba vodom</w:t>
      </w:r>
    </w:p>
    <w:p w:rsidR="004D4583" w:rsidRDefault="004D4583" w:rsidP="00D7487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-</w:t>
      </w:r>
      <w:r w:rsidR="008724D4" w:rsidRPr="008724D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3236</w:t>
      </w:r>
      <w:r w:rsidR="00D66F2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zdravstvene usluge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 w:rsidR="00680F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160,00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eura za sistematske preglede eventualne slučajeve koje ne možemo utjecati</w:t>
      </w:r>
      <w:r w:rsidR="00D748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te pregledi prilikom novih zapošljavanja</w:t>
      </w:r>
    </w:p>
    <w:p w:rsidR="00D74878" w:rsidRDefault="00D74878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-3237 intelektualne usluge-veliki iznosi za odvjetničke usluge, a s time i za vještake te tumače, </w:t>
      </w:r>
      <w:r w:rsidR="00893E7C">
        <w:rPr>
          <w:rFonts w:ascii="Times New Roman" w:eastAsia="Times New Roman" w:hAnsi="Times New Roman" w:cs="Times New Roman"/>
          <w:sz w:val="24"/>
          <w:szCs w:val="24"/>
          <w:lang w:eastAsia="hr-HR"/>
        </w:rPr>
        <w:t>odvjetnike i suce porotnike</w:t>
      </w:r>
    </w:p>
    <w:p w:rsidR="00D74878" w:rsidRDefault="00D74878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-3238 računalne usluge povećanje zbog AKD iskaznica za suce</w:t>
      </w:r>
    </w:p>
    <w:p w:rsidR="00893E7C" w:rsidRDefault="00893E7C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-3239 ostale usluge-povećavanje zbog porasta troškova registracije </w:t>
      </w:r>
      <w:r w:rsidR="00C62A55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lužbenih vozila</w:t>
      </w:r>
    </w:p>
    <w:p w:rsidR="00D74878" w:rsidRDefault="00D74878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-3241 naknada osobama izvan radnog odnosa-velik broj dolazaka svjedoka i </w:t>
      </w:r>
      <w:r w:rsidR="008714FA">
        <w:rPr>
          <w:rFonts w:ascii="Times New Roman" w:eastAsia="Times New Roman" w:hAnsi="Times New Roman" w:cs="Times New Roman"/>
          <w:sz w:val="24"/>
          <w:szCs w:val="24"/>
          <w:lang w:eastAsia="hr-HR"/>
        </w:rPr>
        <w:t>to ponajviše u prijašnjoj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inozemstva Italije, Slovenije i Njemačke te ostalih krajeva Hrvatske </w:t>
      </w:r>
    </w:p>
    <w:p w:rsidR="00893E7C" w:rsidRDefault="00893E7C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-3292 premije osiguranje-podizanje cijena osiguravajućih kuća za osiguranje </w:t>
      </w:r>
      <w:r w:rsidR="00C62A55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</w:t>
      </w:r>
    </w:p>
    <w:p w:rsidR="00893E7C" w:rsidRDefault="00D66F21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-3293 </w:t>
      </w:r>
      <w:r w:rsidR="00893E7C">
        <w:rPr>
          <w:rFonts w:ascii="Times New Roman" w:eastAsia="Times New Roman" w:hAnsi="Times New Roman" w:cs="Times New Roman"/>
          <w:sz w:val="24"/>
          <w:szCs w:val="24"/>
          <w:lang w:eastAsia="hr-HR"/>
        </w:rPr>
        <w:t>reprezentacija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povećavanje zbog organiziranja Godišnjeg susreta sudaca</w:t>
      </w:r>
    </w:p>
    <w:p w:rsidR="00D66F21" w:rsidRDefault="00D66F21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-3295 pristojbe i naknade-povećanja zbog podizanje minimalne plaće koja rezultira porastu novčane naknade za nezapošljavanje invalida te evidentiranje mjesečne </w:t>
      </w:r>
      <w:r w:rsidR="00E734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pristojbe na navedenoj poziciji</w:t>
      </w:r>
    </w:p>
    <w:p w:rsidR="00D74878" w:rsidRPr="00C909ED" w:rsidRDefault="00D74878" w:rsidP="00D7487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C909ED">
        <w:rPr>
          <w:rFonts w:ascii="Times New Roman" w:eastAsia="Times New Roman" w:hAnsi="Times New Roman" w:cs="Times New Roman"/>
          <w:sz w:val="24"/>
          <w:szCs w:val="24"/>
          <w:lang w:eastAsia="hr-HR"/>
        </w:rPr>
        <w:t>3431 bankarske usluge i usluge platnog prometa- manjak sredstava nastao kao posljedica pove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ćanja naknada bankarskih usluga</w:t>
      </w:r>
    </w:p>
    <w:p w:rsidR="004473A4" w:rsidRDefault="004473A4" w:rsidP="004D458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</w:p>
    <w:p w:rsidR="004473A4" w:rsidRPr="004D4583" w:rsidRDefault="004473A4" w:rsidP="004D458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</w:p>
    <w:p w:rsidR="00FB2698" w:rsidRPr="00BF7CAF" w:rsidRDefault="00FB2698" w:rsidP="00BF7CAF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BF7CAF">
        <w:rPr>
          <w:rFonts w:ascii="Times New Roman" w:hAnsi="Times New Roman" w:cs="Times New Roman"/>
          <w:b/>
        </w:rPr>
        <w:t xml:space="preserve">Tekuće održavanje: </w:t>
      </w:r>
    </w:p>
    <w:p w:rsidR="00FB2698" w:rsidRPr="00280FD1" w:rsidRDefault="00FB2698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BF7CAF" w:rsidRDefault="00BF7CAF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FB2698"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ashodi za usluge tekućeg i investicijskog održavanja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planirana su u iznosu od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35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</w:t>
      </w:r>
      <w:r w:rsidR="00C62A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obuhvaćaju </w:t>
      </w:r>
      <w:r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redovan godišnji servi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klima uređaja u </w:t>
      </w:r>
      <w:r w:rsidR="00D66F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zgradi, 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vatrogasnih aparata, za službena vozila, kotlovnicu tokom zimskih mjeseci te ostalih nepredvidljivih popravaka na koje ne možemo utjecati tokom godine.</w:t>
      </w:r>
    </w:p>
    <w:p w:rsidR="00E842E8" w:rsidRDefault="00E842E8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842E8" w:rsidRDefault="00E842E8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842E8" w:rsidRDefault="00E842E8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84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Kapitalno održavanje:</w:t>
      </w:r>
    </w:p>
    <w:p w:rsidR="00E842E8" w:rsidRDefault="00E842E8" w:rsidP="00E84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842E8" w:rsidRDefault="00E842E8" w:rsidP="00E84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U navedenoj godini se planira ulaganja u iznosu od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40.000.00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i to na:</w:t>
      </w:r>
    </w:p>
    <w:p w:rsidR="00F767BF" w:rsidRPr="00F767BF" w:rsidRDefault="00F767BF" w:rsidP="00831B4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</w:t>
      </w:r>
      <w:r w:rsidR="00C62A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dokumentaciju i ugradnju sustava vatrodojave za Županijski i Općinski sud u Puli-Pola</w:t>
      </w:r>
    </w:p>
    <w:p w:rsidR="00E842E8" w:rsidRDefault="00E842E8" w:rsidP="00E84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842E8" w:rsidRDefault="00E842E8" w:rsidP="00E84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4878" w:rsidRDefault="00C62A55" w:rsidP="00E842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F7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D74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Nabava opreme: </w:t>
      </w:r>
    </w:p>
    <w:p w:rsidR="00B30A8A" w:rsidRDefault="00B30A8A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</w:p>
    <w:p w:rsidR="00B30A8A" w:rsidRPr="00B30A8A" w:rsidRDefault="00B30A8A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Županijski sud u Puli-Pola plaća financijski leasing za dva službena vozila nabavljena putem financijskog leasinga i to sukladno otplatnom planu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7.061</w:t>
      </w:r>
      <w:r w:rsidR="008B6F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</w:t>
      </w:r>
    </w:p>
    <w:p w:rsidR="00D74878" w:rsidRDefault="00D74878" w:rsidP="00D748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</w:t>
      </w:r>
    </w:p>
    <w:p w:rsidR="00D74878" w:rsidRPr="00EB0204" w:rsidRDefault="00D74878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B2698" w:rsidRPr="00A845E9" w:rsidRDefault="00FB2698" w:rsidP="00A84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Vlastiti prihodi: </w:t>
      </w:r>
    </w:p>
    <w:p w:rsidR="00FB2698" w:rsidRPr="00280FD1" w:rsidRDefault="00FB2698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Default="00FB2698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Zakonom</w:t>
      </w:r>
      <w:r w:rsidR="00980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procedurom</w:t>
      </w:r>
      <w:r w:rsidR="00163D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temelju Pravilnika o mjerilima i načinu korištenja nenamjenskih donacija i vlastitih prihoda proračunskih korisnika iz nadležnosti Ministarstva pravosuđa i uprave („Narodne novine“ broj 67/23)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 ostvaruju se od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usluga kopiranja sudskih akata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od najma, zakupa prostora za samoposlužne aparate za</w:t>
      </w:r>
      <w:r w:rsidR="00EB19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tople napitke, kavu, pića i grickalice</w:t>
      </w:r>
      <w:r w:rsidR="008B6F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mjesečnom iznosu od 68,75 eura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F305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očekivati je ukupne 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vlastite </w:t>
      </w:r>
      <w:r w:rsidR="00F305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prihode u iznosu od cca. 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8B6F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.525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AC1E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F305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8B6F8D" w:rsidRDefault="008B6F8D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B6F8D" w:rsidRDefault="008B6F8D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B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Ostali prihodi za posebne namjene:</w:t>
      </w:r>
    </w:p>
    <w:p w:rsidR="008B6F8D" w:rsidRDefault="008B6F8D" w:rsidP="00980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B6F8D" w:rsidRPr="008B6F8D" w:rsidRDefault="008B6F8D" w:rsidP="008B6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Navedeno se odnosi na prihod od financijske imovine u vrijednosti od </w:t>
      </w:r>
      <w:r w:rsidR="007A7D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koji će se utrošiti na podmirivanje </w:t>
      </w:r>
      <w:r w:rsidR="007A7D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intelektualnih usluga.</w:t>
      </w:r>
    </w:p>
    <w:p w:rsidR="00D9051B" w:rsidRPr="00280FD1" w:rsidRDefault="00D9051B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280FD1" w:rsidRDefault="00FB2698" w:rsidP="00FB2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2698" w:rsidRPr="00325948" w:rsidRDefault="00F767BF" w:rsidP="00A845E9">
      <w:pPr>
        <w:pStyle w:val="Standard"/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2027</w:t>
      </w:r>
      <w:r w:rsidR="00280FD1" w:rsidRPr="00325948">
        <w:rPr>
          <w:rFonts w:ascii="Times New Roman" w:hAnsi="Times New Roman" w:cs="Times New Roman"/>
          <w:b/>
          <w:u w:val="single"/>
        </w:rPr>
        <w:t>. GODINA</w:t>
      </w:r>
    </w:p>
    <w:p w:rsidR="00280FD1" w:rsidRDefault="00280FD1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D9051B" w:rsidRPr="00280FD1" w:rsidRDefault="00D9051B" w:rsidP="00721BC6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280FD1" w:rsidRPr="00A845E9" w:rsidRDefault="00280FD1" w:rsidP="00A845E9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A845E9">
        <w:rPr>
          <w:rFonts w:ascii="Times New Roman" w:hAnsi="Times New Roman" w:cs="Times New Roman"/>
          <w:b/>
        </w:rPr>
        <w:t>Plaće i doprinosi:</w:t>
      </w:r>
    </w:p>
    <w:p w:rsidR="00280FD1" w:rsidRPr="00280FD1" w:rsidRDefault="00280FD1" w:rsidP="00721BC6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B30A8A" w:rsidRDefault="00A845E9" w:rsidP="00B30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Izračun rađen na temelju pl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aniranog broja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zaposlenih u 202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uz uvećanje z</w:t>
      </w:r>
      <w:r w:rsidR="008B6F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minuli rad svim zaposlenicima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Ukupan iznos dobiven na opisani način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povećan za minuli </w:t>
      </w:r>
      <w:r w:rsidR="008B6F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 </w:t>
      </w:r>
      <w:r w:rsidR="008B6F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iznosi </w:t>
      </w:r>
      <w:r w:rsidR="00C40C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2.920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.026,00 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="004D5EB0" w:rsidRPr="004D5E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5E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plus doprinosi za zdravstveno osiguranje od 16,5%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483.279</w:t>
      </w:r>
      <w:r w:rsidR="008714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 w:rsidR="004D4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AC44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zeta su u obzir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bolovanja te sukladno određenim limitima i Pravilniku o naknadama za dežurstvo sudaca, državnih odvjetnika i zamjenika državn</w:t>
      </w:r>
      <w:r w:rsidR="00E842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ih odvjetnika </w:t>
      </w:r>
      <w:r w:rsidR="008714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="004473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postavljenog limita.</w:t>
      </w:r>
    </w:p>
    <w:p w:rsidR="00A845E9" w:rsidRDefault="00A845E9" w:rsidP="00A84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:rsidR="004D4583" w:rsidRDefault="004D4583" w:rsidP="00A84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8B6F8D" w:rsidRDefault="008B6F8D" w:rsidP="008B6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Plaće za prekovremeni rad planirane su u iznosu od 30.000,00 eura za rad službenika u dežurstvima te dežuranja prilikom izvođenja radova, ali uzimajući i projekcije prijašnjih godina i sređivanje arhivske građe u iznosu od 6.480 eura.</w:t>
      </w:r>
    </w:p>
    <w:p w:rsidR="00A845E9" w:rsidRDefault="00A845E9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DD2CB7" w:rsidRDefault="00280FD1" w:rsidP="00DD2CB7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  <w:r w:rsidRPr="00DD2CB7">
        <w:rPr>
          <w:rFonts w:ascii="Times New Roman" w:hAnsi="Times New Roman" w:cs="Times New Roman"/>
          <w:b/>
        </w:rPr>
        <w:t>Ostali rashodi za zaposlene, prava ostvarena temeljem Kolektivnog ugovora:</w:t>
      </w: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7363" w:rsidRPr="00280FD1" w:rsidRDefault="004D7363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 ostal</w:t>
      </w:r>
      <w:r w:rsidR="00CC6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rashoda za zaposlene temelji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stvarnim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procjenama </w:t>
      </w:r>
      <w:r w:rsidR="008153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iznosi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86.180,00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Navedeni trošak se odnosi na jubilarne nagrade, regres, božićnicu, dar za djec</w:t>
      </w:r>
      <w:r w:rsidR="00E842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u, otpremnine, te razne potpore i moguća povećanja</w:t>
      </w:r>
      <w:r w:rsidR="004473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postavljenog limita.</w:t>
      </w:r>
    </w:p>
    <w:p w:rsidR="004D7363" w:rsidRDefault="004D7363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33B5" w:rsidRDefault="009733B5" w:rsidP="00E84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80FD1" w:rsidRPr="00DD2CB7" w:rsidRDefault="00280FD1" w:rsidP="00DD2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Naknade za prijevoz za rad na terenu i odvojeni život: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B30A8A" w:rsidRPr="00CC6CC7" w:rsidRDefault="00DD2CB7" w:rsidP="00CC6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naknade za prijevoz za rad na terenu i odvojeni život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 je na razini za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  <w:r w:rsidR="00CC6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to 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iznosu od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75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 eura.</w:t>
      </w:r>
    </w:p>
    <w:p w:rsidR="00B30A8A" w:rsidRDefault="00B30A8A" w:rsidP="00DD2CB7">
      <w:pPr>
        <w:pStyle w:val="Standard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hr-HR" w:bidi="ar-SA"/>
        </w:rPr>
      </w:pPr>
    </w:p>
    <w:p w:rsidR="00EB19D5" w:rsidRDefault="00EB19D5" w:rsidP="00DD2CB7">
      <w:pPr>
        <w:pStyle w:val="Standard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hr-HR" w:bidi="ar-SA"/>
        </w:rPr>
      </w:pPr>
    </w:p>
    <w:p w:rsidR="00280FD1" w:rsidRPr="00DD2CB7" w:rsidRDefault="00280FD1" w:rsidP="00DD2CB7">
      <w:pPr>
        <w:pStyle w:val="Standard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hr-HR" w:bidi="ar-SA"/>
        </w:rPr>
      </w:pPr>
      <w:r w:rsidRPr="00DD2CB7">
        <w:rPr>
          <w:rFonts w:ascii="Times New Roman" w:eastAsia="Times New Roman" w:hAnsi="Times New Roman" w:cs="Times New Roman"/>
          <w:b/>
          <w:kern w:val="0"/>
          <w:lang w:eastAsia="hr-HR" w:bidi="ar-SA"/>
        </w:rPr>
        <w:t xml:space="preserve">Materijalni rashodi: </w:t>
      </w:r>
    </w:p>
    <w:p w:rsidR="00280FD1" w:rsidRPr="00280FD1" w:rsidRDefault="00280FD1" w:rsidP="00721BC6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p w:rsidR="00DD2CB7" w:rsidRDefault="00280FD1" w:rsidP="00B30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Materijalni rashodi</w:t>
      </w:r>
      <w:r w:rsidR="00DD2CB7" w:rsidRPr="00DD2CB7">
        <w:t xml:space="preserve"> 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planirani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odnosu na 2026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uzimajući u obzir 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postavljeni limit te eventualni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porast cijena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budući</w:t>
      </w:r>
      <w:r w:rsidR="00B30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</w:t>
      </w:r>
      <w:r w:rsidR="00DD2CB7" w:rsidRP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zbog trenutnih nestabilnosti na tržištu otežano predvidjeti kretanje cijena</w:t>
      </w:r>
      <w:r w:rsidR="004A0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A07A2" w:rsidRDefault="004A07A2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DD2CB7" w:rsidRDefault="00280FD1" w:rsidP="00DD2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D2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Tekuće održavanje: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85D49" w:rsidRDefault="004B460F" w:rsidP="00C85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2027</w:t>
      </w:r>
      <w:r w:rsid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planirane</w:t>
      </w:r>
      <w:r w:rsidR="003259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</w:t>
      </w:r>
      <w:r w:rsid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usluge </w:t>
      </w:r>
      <w:r w:rsidR="00EB19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tekuće i investicijsko</w:t>
      </w:r>
      <w:r w:rsidR="00DD2C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održavanju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EB4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iznosu od 30.000,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 </w:t>
      </w:r>
      <w:r w:rsidR="00C85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 te se odnose na popravke koji</w:t>
      </w:r>
      <w:r w:rsidR="00C85D49" w:rsidRPr="00C85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85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obuhvaćaju </w:t>
      </w:r>
      <w:r w:rsidR="00C85D49"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redovan godišnji servi</w:t>
      </w:r>
      <w:r w:rsidR="00C85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klima uređaja u zgradi, vatrogasnih aparata, za službena vozila, kotlovnicu tokom zimskih mjeseci te ostalih nepredvidljivih popravaka na koje ne možemo utjecati tokom godine.</w:t>
      </w:r>
    </w:p>
    <w:p w:rsidR="00C85D49" w:rsidRDefault="00C85D49" w:rsidP="00C85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F30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842E8" w:rsidRDefault="00E842E8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84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Kapitalno održavanje:</w:t>
      </w:r>
    </w:p>
    <w:p w:rsidR="00E842E8" w:rsidRDefault="00E842E8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35321" w:rsidRDefault="004B460F" w:rsidP="00EB4C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2027</w:t>
      </w:r>
      <w:r w:rsidR="009F5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.godini planira </w:t>
      </w:r>
      <w:r w:rsidR="00EB4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rekonstrukcija potkrovlja, uređenje prostora za nove urede u iznosu od 110.000,00 eura.</w:t>
      </w:r>
    </w:p>
    <w:p w:rsidR="004B460F" w:rsidRPr="00280FD1" w:rsidRDefault="004B460F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30A8A" w:rsidRDefault="00B30A8A" w:rsidP="00B30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Nabava opreme: </w:t>
      </w:r>
    </w:p>
    <w:p w:rsidR="00B30A8A" w:rsidRDefault="00B30A8A" w:rsidP="00B30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</w:p>
    <w:p w:rsidR="00B30A8A" w:rsidRPr="00B30A8A" w:rsidRDefault="00B30A8A" w:rsidP="00B30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Županijski sud u Puli-Pola plaća financijski leasing za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službeno vozila nabavljeno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financijskog leasinga i to sukladno otplatnom planu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5.193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C03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eura.</w:t>
      </w:r>
    </w:p>
    <w:p w:rsidR="007A7D6F" w:rsidRDefault="00C85D49" w:rsidP="002C03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</w:t>
      </w:r>
    </w:p>
    <w:p w:rsidR="00935321" w:rsidRPr="002C032F" w:rsidRDefault="00935321" w:rsidP="002C03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80FD1" w:rsidRPr="00325948" w:rsidRDefault="00B30A8A" w:rsidP="0032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 </w:t>
      </w:r>
      <w:r w:rsidR="00280FD1" w:rsidRPr="00325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Vlastiti prihodi: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A07A2" w:rsidRDefault="004A07A2" w:rsidP="004A0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Zakonom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procedurom</w:t>
      </w:r>
      <w:r w:rsidR="00163DE1" w:rsidRPr="00163D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3D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Pravilnika o mjerilima i načinu korištenja nenamjenskih donacija i vlastitih prihoda proračunskih korisnika iz nadležnosti Ministarstva pravosuđa i uprave („Narodne novine“ broj 67/23)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 ostvaruju se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usluga kopiranja sudskih akata te od najma, zakupa prostora za samoposlužne aparate za </w:t>
      </w:r>
      <w:r w:rsidR="00EB19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tople napitke, kavu, pića i grickalice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mjesečnom iznosu od 68,75 eura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ukupne vlastite prihode u iznosu od cca. 1.5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,00 €. </w:t>
      </w:r>
    </w:p>
    <w:p w:rsidR="007A7D6F" w:rsidRDefault="007A7D6F" w:rsidP="004A0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7D6F" w:rsidRPr="00280FD1" w:rsidRDefault="007A7D6F" w:rsidP="004A0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7D6F" w:rsidRDefault="007A7D6F" w:rsidP="007A7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B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Ostali prihodi za posebne namjene:</w:t>
      </w:r>
    </w:p>
    <w:p w:rsidR="007A7D6F" w:rsidRDefault="007A7D6F" w:rsidP="007A7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F57C4" w:rsidRDefault="007A7D6F" w:rsidP="007A7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Navedeno se odnosi na prihod od financijske imovine u vrijednosti od 100 eura koji će se utrošiti na podmirivanje intelektualnih usluga.</w:t>
      </w:r>
    </w:p>
    <w:p w:rsidR="009F57C4" w:rsidRPr="00280FD1" w:rsidRDefault="009F57C4" w:rsidP="004A07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4B460F" w:rsidP="004A07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2028</w:t>
      </w:r>
      <w:r w:rsidR="00280FD1" w:rsidRPr="00280F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. GODINA</w:t>
      </w: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D9051B" w:rsidRPr="00280FD1" w:rsidRDefault="00D9051B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280FD1" w:rsidRPr="004D7363" w:rsidRDefault="00280FD1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Plaće i doprinosi: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7363" w:rsidRDefault="004D7363" w:rsidP="009C5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Izračun rađen na temelju pl</w:t>
      </w:r>
      <w:r w:rsidR="009C52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aniranog broja zaposlenih u 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2027</w:t>
      </w:r>
      <w:r w:rsidR="00C17C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godini uz uvećanje za minuli rad svim zaposlenicima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Ukupan iznos dobiven na opisani način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iznosi </w:t>
      </w:r>
      <w:r w:rsidR="00C40C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2.922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.884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4D5E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plus doprinosi za zdravstveno osiguranje od 16,5%</w:t>
      </w:r>
      <w:r w:rsidR="002C03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70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483.354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4473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.</w:t>
      </w:r>
    </w:p>
    <w:p w:rsidR="004D7363" w:rsidRDefault="004D7363" w:rsidP="004D73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</w:t>
      </w:r>
    </w:p>
    <w:p w:rsidR="00935321" w:rsidRDefault="00935321" w:rsidP="00935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Plaće za prekovremeni rad planirane su u iznosu od 30.000,00 eura za rad službenika u dežurstvima te dežuranja prilikom izvođenja radova, ali uzimajući i projekcije prijašnjih godina.</w:t>
      </w: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33B5" w:rsidRDefault="009733B5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80FD1" w:rsidRPr="004D7363" w:rsidRDefault="00280FD1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Ostali rashodi za zaposlene prava po Kolektivnom ugovoru: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01E04" w:rsidRPr="00280FD1" w:rsidRDefault="00280FD1" w:rsidP="00B01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 ostalih rashoda za zaposlene temeljio</w:t>
      </w:r>
      <w:r w:rsid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 w:rsid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stvarnim</w:t>
      </w:r>
      <w:r w:rsidR="009C52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procjenama kao i za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2027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153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8153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odine te iznosi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89.180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4473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C52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Navedeni trošak se odnosi na jubilarne nagrade, regres, božićnicu, dar za djec</w:t>
      </w:r>
      <w:r w:rsidR="004473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u, otpremnine, te razne potpore do postavljenog limita.</w:t>
      </w:r>
    </w:p>
    <w:p w:rsidR="00D9051B" w:rsidRPr="00280FD1" w:rsidRDefault="00D9051B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4D7363" w:rsidRDefault="00280FD1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Naknade za prijevoz za rad na terenu i odvojeni život: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01E04" w:rsidRDefault="004D7363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naknade za prijevoz za rad na terenu i odvojeni život</w:t>
      </w:r>
      <w:r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 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iznosu od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75</w:t>
      </w:r>
      <w:r w:rsidR="009353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</w:t>
      </w:r>
      <w:r w:rsidR="00EB4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</w:t>
      </w:r>
    </w:p>
    <w:p w:rsidR="00C17CD5" w:rsidRDefault="00C17CD5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80FD1" w:rsidRPr="004D7363" w:rsidRDefault="00280FD1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Materijalni rashodi: </w:t>
      </w:r>
    </w:p>
    <w:p w:rsid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7363" w:rsidRDefault="004D7363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Materijalni rashodi </w:t>
      </w:r>
      <w:r w:rsidRP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planirani uz uvećanje </w:t>
      </w:r>
      <w:r w:rsidR="004B46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2027</w:t>
      </w:r>
      <w:r w:rsidR="000C77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17C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</w:t>
      </w:r>
      <w:r w:rsidRP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koliko iznosi i postavljeni limit, budući je zbog trenutnih nestabilnosti na tržištu otežano predvidjeti kretanje cijena, jedino su zdravstvene usluge planirane realno prema broju zaposlenika koji će imati pravo na sistemat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 pregle</w:t>
      </w:r>
      <w:r w:rsidR="00817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 te ostale potrebe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su nam trenutno poznate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D7363" w:rsidRDefault="004D7363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7363" w:rsidRDefault="004D7363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7D6F" w:rsidRPr="00280FD1" w:rsidRDefault="007A7D6F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4D7363" w:rsidRDefault="00280FD1" w:rsidP="004D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D7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Tekuće održavanje: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85D49" w:rsidRDefault="00935321" w:rsidP="00C85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2027</w:t>
      </w:r>
      <w:r w:rsidR="004D73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planirane su usluge n</w:t>
      </w:r>
      <w:r w:rsidR="00B01E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održavanju u opsegu </w:t>
      </w:r>
      <w:r w:rsidR="00C85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30.000,00 eura koji obuhvaćaju </w:t>
      </w:r>
      <w:r w:rsidR="00C85D49" w:rsidRPr="00BF7C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redovan godišnji servi</w:t>
      </w:r>
      <w:r w:rsidR="00C85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klima uređaja u zgradi, vatrogasnih aparata, za službena vozila, kotlovnicu tokom zimskih mjeseci te ostalih nepredvidljivih popravaka na koje ne možemo utjecati tokom godine.</w:t>
      </w:r>
    </w:p>
    <w:p w:rsidR="00C85D49" w:rsidRDefault="00C85D49" w:rsidP="00C85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3271" w:rsidRDefault="00C85D49" w:rsidP="006C4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</w:t>
      </w:r>
      <w:r w:rsidR="00383271" w:rsidRPr="00E84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Kapitalno održavanje:</w:t>
      </w:r>
    </w:p>
    <w:p w:rsidR="00383271" w:rsidRDefault="00383271" w:rsidP="0038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83271" w:rsidRDefault="00383271" w:rsidP="0038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U navedenoj godini se </w:t>
      </w:r>
      <w:r w:rsidR="00FA3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</w:t>
      </w:r>
      <w:r w:rsidR="00FA3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 dodatna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ulaganja</w:t>
      </w:r>
      <w:r w:rsidR="00FA3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83271" w:rsidRPr="00383271" w:rsidRDefault="00383271" w:rsidP="0038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83271" w:rsidRDefault="00C85D49" w:rsidP="00B01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</w:t>
      </w:r>
    </w:p>
    <w:p w:rsidR="00B01E04" w:rsidRDefault="00383271" w:rsidP="003832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</w:t>
      </w:r>
      <w:r w:rsidR="00B01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Nabava opreme: </w:t>
      </w:r>
    </w:p>
    <w:p w:rsidR="00B01E04" w:rsidRDefault="00B01E04" w:rsidP="00B01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</w:p>
    <w:p w:rsidR="00B01E04" w:rsidRPr="00B30A8A" w:rsidRDefault="00B01E04" w:rsidP="00B01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Županijski sud u Puli-Pola plaća financijski leasing za </w:t>
      </w:r>
      <w:r w:rsidR="00FA3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službeno vozilo nabavljeno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financijskog leasinga i to sukladno otplatnom planu </w:t>
      </w:r>
      <w:r w:rsidR="00FA3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eura.</w:t>
      </w:r>
    </w:p>
    <w:p w:rsidR="004D7363" w:rsidRPr="00B01E04" w:rsidRDefault="00B01E04" w:rsidP="00B01E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</w:t>
      </w:r>
      <w:r w:rsidR="004D7363" w:rsidRPr="00280F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80FD1" w:rsidRPr="008153DF" w:rsidRDefault="00280FD1" w:rsidP="009C52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C5275" w:rsidRPr="00A845E9" w:rsidRDefault="009C5275" w:rsidP="009C5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84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Vlastiti prihodi: </w:t>
      </w:r>
    </w:p>
    <w:p w:rsidR="009C5275" w:rsidRPr="00280FD1" w:rsidRDefault="009C5275" w:rsidP="009C52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C5275" w:rsidRPr="00280FD1" w:rsidRDefault="009C5275" w:rsidP="009C5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Zakonom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procedurom</w:t>
      </w:r>
      <w:r w:rsidR="00163DE1" w:rsidRPr="00163D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3D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Pravilnika o mjerilima i načinu korištenja nenamjenskih donacija i vlastitih prihoda proračunskih korisnika iz nadležnosti Ministarstva pravosuđa i uprave („Narodne novine“ broj 67/23)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 ostvaruju se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usluga kopiranja sudskih akata te od najma, zakupa prostora za samoposlužne aparate za kavu i piće</w:t>
      </w:r>
      <w:r w:rsidR="00EB19D5" w:rsidRPr="00EB19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B19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tople napitke i grickalice</w:t>
      </w:r>
      <w:r w:rsidR="000C77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mjesečnom iznosu od 68,75 eura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očekivati je ukupne vlastite prihode u iznosu od cca. 1.</w:t>
      </w:r>
      <w:r w:rsidR="00E734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,00 €. </w:t>
      </w: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80FD1" w:rsidRPr="00280FD1" w:rsidRDefault="00280FD1" w:rsidP="002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280FD1" w:rsidRPr="00280FD1" w:rsidRDefault="00280FD1" w:rsidP="005C5396">
      <w:pPr>
        <w:pStyle w:val="Standard"/>
        <w:jc w:val="right"/>
        <w:rPr>
          <w:rFonts w:ascii="Times New Roman" w:eastAsia="Times New Roman" w:hAnsi="Times New Roman" w:cs="Times New Roman"/>
          <w:kern w:val="0"/>
          <w:lang w:eastAsia="hr-HR" w:bidi="ar-SA"/>
        </w:rPr>
      </w:pPr>
    </w:p>
    <w:sectPr w:rsidR="00280FD1" w:rsidRPr="00280FD1" w:rsidSect="00721BC6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7D" w:rsidRDefault="0014557D" w:rsidP="00721BC6">
      <w:pPr>
        <w:spacing w:after="0" w:line="240" w:lineRule="auto"/>
      </w:pPr>
      <w:r>
        <w:separator/>
      </w:r>
    </w:p>
  </w:endnote>
  <w:endnote w:type="continuationSeparator" w:id="0">
    <w:p w:rsidR="0014557D" w:rsidRDefault="0014557D" w:rsidP="0072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7D" w:rsidRDefault="0014557D" w:rsidP="00721BC6">
      <w:pPr>
        <w:spacing w:after="0" w:line="240" w:lineRule="auto"/>
      </w:pPr>
      <w:r>
        <w:separator/>
      </w:r>
    </w:p>
  </w:footnote>
  <w:footnote w:type="continuationSeparator" w:id="0">
    <w:p w:rsidR="0014557D" w:rsidRDefault="0014557D" w:rsidP="0072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24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05F1" w:rsidRPr="00F305F1" w:rsidRDefault="00F305F1">
        <w:pPr>
          <w:pStyle w:val="Zaglavlje"/>
          <w:jc w:val="center"/>
          <w:rPr>
            <w:rFonts w:ascii="Times New Roman" w:hAnsi="Times New Roman" w:cs="Times New Roman"/>
          </w:rPr>
        </w:pPr>
        <w:r w:rsidRPr="00F305F1">
          <w:rPr>
            <w:rFonts w:ascii="Times New Roman" w:hAnsi="Times New Roman" w:cs="Times New Roman"/>
          </w:rPr>
          <w:fldChar w:fldCharType="begin"/>
        </w:r>
        <w:r w:rsidRPr="00F305F1">
          <w:rPr>
            <w:rFonts w:ascii="Times New Roman" w:hAnsi="Times New Roman" w:cs="Times New Roman"/>
          </w:rPr>
          <w:instrText>PAGE   \* MERGEFORMAT</w:instrText>
        </w:r>
        <w:r w:rsidRPr="00F305F1">
          <w:rPr>
            <w:rFonts w:ascii="Times New Roman" w:hAnsi="Times New Roman" w:cs="Times New Roman"/>
          </w:rPr>
          <w:fldChar w:fldCharType="separate"/>
        </w:r>
        <w:r w:rsidR="00F55FC9">
          <w:rPr>
            <w:rFonts w:ascii="Times New Roman" w:hAnsi="Times New Roman" w:cs="Times New Roman"/>
            <w:noProof/>
          </w:rPr>
          <w:t>6</w:t>
        </w:r>
        <w:r w:rsidRPr="00F305F1">
          <w:rPr>
            <w:rFonts w:ascii="Times New Roman" w:hAnsi="Times New Roman" w:cs="Times New Roman"/>
          </w:rPr>
          <w:fldChar w:fldCharType="end"/>
        </w:r>
      </w:p>
    </w:sdtContent>
  </w:sdt>
  <w:p w:rsidR="00721BC6" w:rsidRDefault="00721BC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2EE7"/>
    <w:multiLevelType w:val="hybridMultilevel"/>
    <w:tmpl w:val="EFBA6356"/>
    <w:lvl w:ilvl="0" w:tplc="DAFEE5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9111D"/>
    <w:multiLevelType w:val="hybridMultilevel"/>
    <w:tmpl w:val="E308657E"/>
    <w:lvl w:ilvl="0" w:tplc="09EE6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32F2"/>
    <w:multiLevelType w:val="hybridMultilevel"/>
    <w:tmpl w:val="83C82BF2"/>
    <w:lvl w:ilvl="0" w:tplc="D1E4A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14233"/>
    <w:multiLevelType w:val="hybridMultilevel"/>
    <w:tmpl w:val="A73AC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6253E"/>
    <w:multiLevelType w:val="hybridMultilevel"/>
    <w:tmpl w:val="AFE0B240"/>
    <w:lvl w:ilvl="0" w:tplc="6DB08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56A46"/>
    <w:multiLevelType w:val="hybridMultilevel"/>
    <w:tmpl w:val="8D440E22"/>
    <w:lvl w:ilvl="0" w:tplc="493013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0D4C53"/>
    <w:multiLevelType w:val="hybridMultilevel"/>
    <w:tmpl w:val="5ABA1F76"/>
    <w:lvl w:ilvl="0" w:tplc="9092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1381B"/>
    <w:multiLevelType w:val="hybridMultilevel"/>
    <w:tmpl w:val="81087B66"/>
    <w:lvl w:ilvl="0" w:tplc="8BB89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E7103"/>
    <w:multiLevelType w:val="hybridMultilevel"/>
    <w:tmpl w:val="E966A77C"/>
    <w:lvl w:ilvl="0" w:tplc="4B74FD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9E"/>
    <w:rsid w:val="000114C1"/>
    <w:rsid w:val="00027267"/>
    <w:rsid w:val="0004151F"/>
    <w:rsid w:val="00062439"/>
    <w:rsid w:val="00063E4A"/>
    <w:rsid w:val="000713EB"/>
    <w:rsid w:val="000762E5"/>
    <w:rsid w:val="000802CF"/>
    <w:rsid w:val="00083DFC"/>
    <w:rsid w:val="000A3B96"/>
    <w:rsid w:val="000C7733"/>
    <w:rsid w:val="000D23E6"/>
    <w:rsid w:val="00101064"/>
    <w:rsid w:val="0010130E"/>
    <w:rsid w:val="001065AE"/>
    <w:rsid w:val="001152FA"/>
    <w:rsid w:val="0014557D"/>
    <w:rsid w:val="00163DE1"/>
    <w:rsid w:val="00173B9E"/>
    <w:rsid w:val="001A2FE5"/>
    <w:rsid w:val="001C0645"/>
    <w:rsid w:val="001E2C21"/>
    <w:rsid w:val="001F5CEF"/>
    <w:rsid w:val="0020019C"/>
    <w:rsid w:val="00221690"/>
    <w:rsid w:val="00241F1C"/>
    <w:rsid w:val="00280FD1"/>
    <w:rsid w:val="002A00DC"/>
    <w:rsid w:val="002B1643"/>
    <w:rsid w:val="002B1D92"/>
    <w:rsid w:val="002C032F"/>
    <w:rsid w:val="002C2BC2"/>
    <w:rsid w:val="002E2367"/>
    <w:rsid w:val="002E4DA1"/>
    <w:rsid w:val="002F377E"/>
    <w:rsid w:val="00321B10"/>
    <w:rsid w:val="00325948"/>
    <w:rsid w:val="00372225"/>
    <w:rsid w:val="00376AC6"/>
    <w:rsid w:val="00382218"/>
    <w:rsid w:val="00383271"/>
    <w:rsid w:val="003B0169"/>
    <w:rsid w:val="003D3A4F"/>
    <w:rsid w:val="00414B0D"/>
    <w:rsid w:val="00422B66"/>
    <w:rsid w:val="0043452E"/>
    <w:rsid w:val="00434554"/>
    <w:rsid w:val="00435143"/>
    <w:rsid w:val="0044607D"/>
    <w:rsid w:val="004473A4"/>
    <w:rsid w:val="00470B5B"/>
    <w:rsid w:val="00472483"/>
    <w:rsid w:val="00497298"/>
    <w:rsid w:val="004A07A2"/>
    <w:rsid w:val="004B460F"/>
    <w:rsid w:val="004B5B33"/>
    <w:rsid w:val="004D0902"/>
    <w:rsid w:val="004D4583"/>
    <w:rsid w:val="004D5EB0"/>
    <w:rsid w:val="004D7363"/>
    <w:rsid w:val="004F3ABA"/>
    <w:rsid w:val="004F6B84"/>
    <w:rsid w:val="0050073C"/>
    <w:rsid w:val="005212EF"/>
    <w:rsid w:val="0055396F"/>
    <w:rsid w:val="005641AF"/>
    <w:rsid w:val="0056751C"/>
    <w:rsid w:val="00580351"/>
    <w:rsid w:val="005975BD"/>
    <w:rsid w:val="005A5F23"/>
    <w:rsid w:val="005C3868"/>
    <w:rsid w:val="005C5396"/>
    <w:rsid w:val="005C772C"/>
    <w:rsid w:val="00617C93"/>
    <w:rsid w:val="006300FA"/>
    <w:rsid w:val="00631413"/>
    <w:rsid w:val="00636C60"/>
    <w:rsid w:val="00680FD6"/>
    <w:rsid w:val="00697BF3"/>
    <w:rsid w:val="006A5ED5"/>
    <w:rsid w:val="006B426D"/>
    <w:rsid w:val="006C4246"/>
    <w:rsid w:val="006D5854"/>
    <w:rsid w:val="006D5F38"/>
    <w:rsid w:val="006D69C4"/>
    <w:rsid w:val="00717B11"/>
    <w:rsid w:val="00721BC6"/>
    <w:rsid w:val="00736D6E"/>
    <w:rsid w:val="0075444D"/>
    <w:rsid w:val="00771A34"/>
    <w:rsid w:val="00781516"/>
    <w:rsid w:val="0078570E"/>
    <w:rsid w:val="007943A8"/>
    <w:rsid w:val="007A7D6F"/>
    <w:rsid w:val="007B5C98"/>
    <w:rsid w:val="008153DF"/>
    <w:rsid w:val="00817587"/>
    <w:rsid w:val="00831B42"/>
    <w:rsid w:val="008714FA"/>
    <w:rsid w:val="008724D4"/>
    <w:rsid w:val="00882C78"/>
    <w:rsid w:val="00893E7C"/>
    <w:rsid w:val="008B6F8D"/>
    <w:rsid w:val="008D58B2"/>
    <w:rsid w:val="008E2C57"/>
    <w:rsid w:val="00917E86"/>
    <w:rsid w:val="009351BA"/>
    <w:rsid w:val="00935321"/>
    <w:rsid w:val="0093702D"/>
    <w:rsid w:val="009450F4"/>
    <w:rsid w:val="009733B5"/>
    <w:rsid w:val="009805B5"/>
    <w:rsid w:val="009871C8"/>
    <w:rsid w:val="009C5275"/>
    <w:rsid w:val="009D56BF"/>
    <w:rsid w:val="009F10E1"/>
    <w:rsid w:val="009F57C4"/>
    <w:rsid w:val="00A52DDE"/>
    <w:rsid w:val="00A54E0D"/>
    <w:rsid w:val="00A570C7"/>
    <w:rsid w:val="00A845E9"/>
    <w:rsid w:val="00AC1E93"/>
    <w:rsid w:val="00AC4409"/>
    <w:rsid w:val="00B01E04"/>
    <w:rsid w:val="00B02EC6"/>
    <w:rsid w:val="00B14FB5"/>
    <w:rsid w:val="00B30A8A"/>
    <w:rsid w:val="00B754A7"/>
    <w:rsid w:val="00B82CD4"/>
    <w:rsid w:val="00BF7CAF"/>
    <w:rsid w:val="00C10341"/>
    <w:rsid w:val="00C17CD5"/>
    <w:rsid w:val="00C268D8"/>
    <w:rsid w:val="00C40C19"/>
    <w:rsid w:val="00C43547"/>
    <w:rsid w:val="00C62A55"/>
    <w:rsid w:val="00C85D49"/>
    <w:rsid w:val="00CB59C7"/>
    <w:rsid w:val="00CC6CC7"/>
    <w:rsid w:val="00CE0C52"/>
    <w:rsid w:val="00CE27A6"/>
    <w:rsid w:val="00CF6C37"/>
    <w:rsid w:val="00D01CD6"/>
    <w:rsid w:val="00D16D8B"/>
    <w:rsid w:val="00D22CAC"/>
    <w:rsid w:val="00D62305"/>
    <w:rsid w:val="00D66F21"/>
    <w:rsid w:val="00D67CFB"/>
    <w:rsid w:val="00D74878"/>
    <w:rsid w:val="00D9001D"/>
    <w:rsid w:val="00D9051B"/>
    <w:rsid w:val="00D919D6"/>
    <w:rsid w:val="00DA1E76"/>
    <w:rsid w:val="00DB7BA8"/>
    <w:rsid w:val="00DD20F1"/>
    <w:rsid w:val="00DD2CB7"/>
    <w:rsid w:val="00DD76A1"/>
    <w:rsid w:val="00DE01DF"/>
    <w:rsid w:val="00DF6135"/>
    <w:rsid w:val="00DF6610"/>
    <w:rsid w:val="00E107F0"/>
    <w:rsid w:val="00E20337"/>
    <w:rsid w:val="00E2172C"/>
    <w:rsid w:val="00E22196"/>
    <w:rsid w:val="00E32AF5"/>
    <w:rsid w:val="00E732BD"/>
    <w:rsid w:val="00E73445"/>
    <w:rsid w:val="00E842E8"/>
    <w:rsid w:val="00E868CF"/>
    <w:rsid w:val="00E9703C"/>
    <w:rsid w:val="00EA7294"/>
    <w:rsid w:val="00EB0204"/>
    <w:rsid w:val="00EB15C1"/>
    <w:rsid w:val="00EB1730"/>
    <w:rsid w:val="00EB19D5"/>
    <w:rsid w:val="00EB4C24"/>
    <w:rsid w:val="00EC6697"/>
    <w:rsid w:val="00EC7AA3"/>
    <w:rsid w:val="00F01899"/>
    <w:rsid w:val="00F05A78"/>
    <w:rsid w:val="00F26761"/>
    <w:rsid w:val="00F305F1"/>
    <w:rsid w:val="00F32BB0"/>
    <w:rsid w:val="00F55FC9"/>
    <w:rsid w:val="00F767BF"/>
    <w:rsid w:val="00F94A84"/>
    <w:rsid w:val="00FA3D39"/>
    <w:rsid w:val="00FB2698"/>
    <w:rsid w:val="00FC29EA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B9E"/>
    <w:pPr>
      <w:spacing w:after="0" w:line="240" w:lineRule="auto"/>
      <w:jc w:val="both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AC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1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1BC6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BC6"/>
  </w:style>
  <w:style w:type="paragraph" w:styleId="Podnoje">
    <w:name w:val="footer"/>
    <w:basedOn w:val="Normal"/>
    <w:link w:val="Podno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BC6"/>
  </w:style>
  <w:style w:type="paragraph" w:styleId="Odlomakpopisa">
    <w:name w:val="List Paragraph"/>
    <w:basedOn w:val="Normal"/>
    <w:uiPriority w:val="34"/>
    <w:qFormat/>
    <w:rsid w:val="00D7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B9E"/>
    <w:pPr>
      <w:spacing w:after="0" w:line="240" w:lineRule="auto"/>
      <w:jc w:val="both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AC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21B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1BC6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BC6"/>
  </w:style>
  <w:style w:type="paragraph" w:styleId="Podnoje">
    <w:name w:val="footer"/>
    <w:basedOn w:val="Normal"/>
    <w:link w:val="PodnojeChar"/>
    <w:uiPriority w:val="99"/>
    <w:unhideWhenUsed/>
    <w:rsid w:val="0072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BC6"/>
  </w:style>
  <w:style w:type="paragraph" w:styleId="Odlomakpopisa">
    <w:name w:val="List Paragraph"/>
    <w:basedOn w:val="Normal"/>
    <w:uiPriority w:val="34"/>
    <w:qFormat/>
    <w:rsid w:val="00D7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C5EB-ACF2-4D48-AC81-B3BD4647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Prgić Ivošić</dc:creator>
  <cp:lastModifiedBy>Samanta Orlić</cp:lastModifiedBy>
  <cp:revision>20</cp:revision>
  <cp:lastPrinted>2024-11-05T11:57:00Z</cp:lastPrinted>
  <dcterms:created xsi:type="dcterms:W3CDTF">2024-01-05T07:48:00Z</dcterms:created>
  <dcterms:modified xsi:type="dcterms:W3CDTF">2025-12-23T10:40:00Z</dcterms:modified>
</cp:coreProperties>
</file>