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tblLook w:val="04A0" w:firstRow="1" w:lastRow="0" w:firstColumn="1" w:lastColumn="0" w:noHBand="0" w:noVBand="1"/>
      </w:tblPr>
      <w:tblGrid>
        <w:gridCol w:w="4819"/>
      </w:tblGrid>
      <w:tr w:rsidR="00F35047" w:rsidRPr="00261C0A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261C0A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1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RAZDJEL: 109 MINISTARSTVO PRAVOSUĐA I UPRAVE</w:t>
            </w:r>
          </w:p>
        </w:tc>
      </w:tr>
      <w:tr w:rsidR="00F35047" w:rsidRPr="00261C0A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261C0A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1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GLAVA: 109806 OPĆINSKI PREKRŠAJNI SUD U SPLITU</w:t>
            </w:r>
          </w:p>
        </w:tc>
      </w:tr>
      <w:tr w:rsidR="00F35047" w:rsidRPr="00261C0A" w:rsidTr="00F35047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047" w:rsidRPr="00261C0A" w:rsidRDefault="00F35047" w:rsidP="00F35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1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AKTIVNOST: 6410006</w:t>
            </w:r>
          </w:p>
        </w:tc>
      </w:tr>
    </w:tbl>
    <w:p w:rsidR="00F35047" w:rsidRPr="00261C0A" w:rsidRDefault="00F35047" w:rsidP="00F35047">
      <w:pPr>
        <w:tabs>
          <w:tab w:val="right" w:pos="7920"/>
          <w:tab w:val="right" w:pos="9900"/>
        </w:tabs>
        <w:rPr>
          <w:rFonts w:ascii="Times New Roman" w:hAnsi="Times New Roman" w:cs="Times New Roman"/>
          <w:sz w:val="24"/>
          <w:szCs w:val="24"/>
        </w:rPr>
      </w:pPr>
    </w:p>
    <w:p w:rsidR="00702FBB" w:rsidRPr="00261C0A" w:rsidRDefault="00702FBB" w:rsidP="00702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OBRAZLOŽENJE </w:t>
      </w:r>
      <w:r w:rsidR="00B22D45" w:rsidRPr="00261C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POSEBNOG DIJELA </w:t>
      </w:r>
      <w:r w:rsidRPr="00261C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FINANCIJSKOG PLANA 202</w:t>
      </w:r>
      <w:r w:rsidR="00FE7F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85D3C" w:rsidRPr="00261C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– 202</w:t>
      </w:r>
      <w:r w:rsidR="00FE7F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261C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prekršajni sud u Splitu obavlja aktivnost sudske i pravosudne djelatnosti i sjedište suda je u Splitu na adresi Domovinskog rata 4 dok se 8 stalnih službi nalaze u Kaštel </w:t>
      </w:r>
      <w:proofErr w:type="spellStart"/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Sućurcu</w:t>
      </w:r>
      <w:proofErr w:type="spellEnd"/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, Omišu, Solinu, Trogiru, Sinju te na otocima Hvar (Stari grad), Brač  (Supetar) i Vis. Općinski prekršajni sud je nadležan za područje 13 gradova i 26 općina i na datum 3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85D3C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 zapošljava 2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suca i 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94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službenika i namještenika.</w:t>
      </w: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</w:t>
      </w: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i rashodi za nabavu nefinancijske imovine Općinsko prekršajnog suda u Splitu se financiraju samo iz državnog proračuna te se ne financiraju iz ostalih izvora financiranja. Vlastiti prihodi koje ostvaruje sud se odnose na prihode od kopiranja dokumenata ko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ji su iskazani u malim iznosima, 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smo ih u narednom trogodišnjem razdoblju planirani u iznosu od </w:t>
      </w:r>
      <w:r w:rsidR="00367981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D03CC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367981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2FBB" w:rsidRPr="00261C0A" w:rsidRDefault="00702FBB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I IZDACI</w:t>
      </w:r>
    </w:p>
    <w:p w:rsidR="007312DD" w:rsidRPr="00261C0A" w:rsidRDefault="007312DD" w:rsidP="007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12DD" w:rsidRPr="00261C0A" w:rsidRDefault="00702FBB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rashode za zaposlene za razdoblje 202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202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 su planirani prema stvarnim potrebama S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uda. Uvećani su u odnosu na 202</w:t>
      </w:r>
      <w:r w:rsidR="00D810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 sukladno povećanja svih općepoznatih komponenti koje utječu na cijene usluga glavnih dobavljača materijala, električne energije i goriva kao 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 osnovice za obračun plaća državnih službenika i namještenika</w:t>
      </w:r>
      <w:r w:rsidR="00210F8F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, te sudaca, te dodataka na plaću za službenike i namještenike u pravosuđu</w:t>
      </w:r>
      <w:r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44B20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312DD" w:rsidRPr="00261C0A" w:rsidRDefault="00D81035" w:rsidP="0073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prijedlogu državnog proračuna,</w:t>
      </w:r>
      <w:r w:rsidR="007312DD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iznosi sukladno odobrenim ukupnim limitima po proračunskim godinama, uz  obrazloženje sljedećih</w:t>
      </w:r>
      <w:r w:rsidR="00BC33A6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najznačajnijih</w:t>
      </w:r>
      <w:r w:rsidR="007312DD" w:rsidRPr="00261C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stavki:</w:t>
      </w:r>
    </w:p>
    <w:p w:rsidR="00EC349A" w:rsidRDefault="00EC349A" w:rsidP="00210F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349A" w:rsidRDefault="00EC349A" w:rsidP="00EC349A">
      <w:pPr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3111- Plaće za redovan rad- 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u ukupnom iznosu od 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>3.258.478,00 €-2026.g; 3.262.500,00 €-2027.g; 3.268.000,00 €-2028.g</w:t>
      </w:r>
      <w:r w:rsidRPr="00EC349A">
        <w:rPr>
          <w:rFonts w:ascii="Times New Roman" w:hAnsi="Times New Roman" w:cs="Times New Roman"/>
          <w:bCs/>
          <w:sz w:val="24"/>
          <w:szCs w:val="24"/>
        </w:rPr>
        <w:t>.se odnose na plaće uvećane za minuli rad i dodataka na plaće pravosudnih službenika i namještenika, također i zbog povećane osnovice i koeficijenta  za obračun plaće sudaca.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3211- Službena putovanja; 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>9.000,00 €-2026.g.; 10.000,00 €-2027.g.; 11.000,00 €-2028.g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 ,</w:t>
      </w:r>
      <w:r w:rsidRPr="00EC349A">
        <w:rPr>
          <w:rFonts w:ascii="Times New Roman" w:hAnsi="Times New Roman" w:cs="Times New Roman"/>
          <w:sz w:val="24"/>
          <w:szCs w:val="24"/>
        </w:rPr>
        <w:t xml:space="preserve">sredstva za službena putovanja planirana su na temelju službenih putovanja iz prethodnih godina, te u skladu s limitom za financijske planove u kojima su povećane sve ostale stavke zbog </w:t>
      </w:r>
      <w:r w:rsidRPr="00EC349A">
        <w:rPr>
          <w:rFonts w:ascii="Times New Roman" w:hAnsi="Times New Roman" w:cs="Times New Roman"/>
          <w:sz w:val="24"/>
          <w:szCs w:val="24"/>
        </w:rPr>
        <w:lastRenderedPageBreak/>
        <w:t>općepoznatog porasta cijena, to je povećan broj službenih putovanja, tako da je potrebno povećanje stavke za službena  putovanja.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3232- Usluge tekućeg investicijskog održavanja; 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6.000,00 €-2026.g.; 5.000,00 €-2027.g.; 17.000,00€-2028.g.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veće povećanje na ovoj poziciji u 2028.g. je zbog toga što se u  sjedištu suda u Splitu te u Stalnoj službi u Trogiru ukazuje potreba za </w:t>
      </w:r>
      <w:proofErr w:type="spellStart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>ličilačkim</w:t>
      </w:r>
      <w:proofErr w:type="spellEnd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radovima radi saniranja oštećenja i tragova na zidovima soba/ureda koji su nastali uslijed prodora vode.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3233- Usluge promidžbe i informiranja; 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>2.000,00 €-2026.g.; 3.000,00 €-2027.g.; 3.000,00€-2028.g.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49A">
        <w:rPr>
          <w:rFonts w:ascii="Times New Roman" w:hAnsi="Times New Roman" w:cs="Times New Roman"/>
          <w:sz w:val="24"/>
          <w:szCs w:val="24"/>
        </w:rPr>
        <w:t>, u posljednje vrijeme popunjavaju se radna mjesta u sudu zbog odlaska djelatnika u mirovinu, te zapošljavanja vježbenika u državnoj službi, tako da se događa da postupak za prijam u državnu službu objavljuje u obliku javnog natječaja u Narodnim novinama. Isto tako, u ovom trenutku imamo najavljene odlaske službenika iz državne službe tako da će biti potrebno provesti postupke prijma u državnu službu na upražnjena radna mjesta, tj. objaviti javne natječaje, za što su potrebna dodatna sredstva na ovoj stavci.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>3235- Zakupnine i najamnine</w:t>
      </w:r>
      <w:r w:rsidRPr="00EC349A">
        <w:rPr>
          <w:rFonts w:ascii="Times New Roman" w:hAnsi="Times New Roman" w:cs="Times New Roman"/>
          <w:b/>
          <w:sz w:val="24"/>
          <w:szCs w:val="24"/>
        </w:rPr>
        <w:t>;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 xml:space="preserve"> ; 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Pr="00EC349A">
        <w:rPr>
          <w:rFonts w:ascii="Times New Roman" w:hAnsi="Times New Roman" w:cs="Times New Roman"/>
          <w:b/>
          <w:bCs/>
          <w:sz w:val="24"/>
          <w:szCs w:val="24"/>
        </w:rPr>
        <w:t>18.500,00 €-2026.g.; 18.500,00 €-2027.g.; 18.500,00€-2028.g.</w:t>
      </w:r>
      <w:r w:rsidRPr="00EC34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49A">
        <w:rPr>
          <w:rFonts w:ascii="Times New Roman" w:hAnsi="Times New Roman" w:cs="Times New Roman"/>
          <w:sz w:val="24"/>
          <w:szCs w:val="24"/>
        </w:rPr>
        <w:t>pored pisača i višenamjenskih uređaja u najmu, u tijeku je postupak radi ugovaranja zakupa prostora s Gradom Splitom koji bi se koristio za potrebe arhiva. Predmetni prostor površine 87 m² je ovaj Sud i do sada koristio za potrebe arhiva ali bez plaćanja zakupa, pa su u ovu stavku uračunata sredstva namijenjena za zakup navedenog prostora.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3236- Zdravstvene i veterinarske usluge; </w:t>
      </w:r>
      <w:r w:rsidRPr="00EC349A">
        <w:rPr>
          <w:rFonts w:ascii="Times New Roman" w:hAnsi="Times New Roman" w:cs="Times New Roman"/>
          <w:sz w:val="24"/>
          <w:szCs w:val="24"/>
        </w:rPr>
        <w:t xml:space="preserve">u iznos </w:t>
      </w:r>
      <w:r w:rsidRPr="00EC349A">
        <w:rPr>
          <w:rFonts w:ascii="Times New Roman" w:hAnsi="Times New Roman" w:cs="Times New Roman"/>
          <w:b/>
          <w:sz w:val="24"/>
          <w:szCs w:val="24"/>
        </w:rPr>
        <w:t>10.000,00 €-2026.g.; 17.000,00 €-2027.g.; 8.000,00 €-2028.g</w:t>
      </w:r>
      <w:r w:rsidRPr="00EC349A">
        <w:rPr>
          <w:rFonts w:ascii="Times New Roman" w:hAnsi="Times New Roman" w:cs="Times New Roman"/>
          <w:sz w:val="24"/>
          <w:szCs w:val="24"/>
        </w:rPr>
        <w:t>. , planirani su troškovi za obvezni sistematski pregled na koji su do sada pravo imali službenici i namještenici, međutim , od 01.travnja 2024.g. to pravo ostvaruju i dužnosnici te su im priznata prava koja ostvaruju službenici zaposleni u pravosudnim tijelima, i to pravo na naknadu troškova prijevoza na posao i s posla, godišnju nagradu za uskršnje i božićne blagdane, dar za dijete do navršenih 15 godina života, regres za korištenje godišnjeg odmora te pravo na sistematski pregled, a što je sve od utjecaja na povećanje rashoda.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  <w:r w:rsidRPr="00EC349A">
        <w:rPr>
          <w:rFonts w:ascii="Times New Roman" w:hAnsi="Times New Roman" w:cs="Times New Roman"/>
          <w:b/>
          <w:bCs/>
          <w:sz w:val="24"/>
          <w:szCs w:val="24"/>
        </w:rPr>
        <w:t>3237- Intelektualne i osobne usluge</w:t>
      </w:r>
      <w:r w:rsidRPr="00EC349A">
        <w:rPr>
          <w:rFonts w:ascii="Times New Roman" w:hAnsi="Times New Roman" w:cs="Times New Roman"/>
          <w:sz w:val="24"/>
          <w:szCs w:val="24"/>
        </w:rPr>
        <w:t xml:space="preserve">; u iznosu </w:t>
      </w:r>
      <w:r w:rsidRPr="00EC349A">
        <w:rPr>
          <w:rFonts w:ascii="Times New Roman" w:hAnsi="Times New Roman" w:cs="Times New Roman"/>
          <w:b/>
          <w:sz w:val="24"/>
          <w:szCs w:val="24"/>
        </w:rPr>
        <w:t>183.200,00 €-2026.g.; 173.200,00 €-2027.g.; 174.200,00 €-2028.g.</w:t>
      </w:r>
      <w:r w:rsidRPr="00EC349A">
        <w:rPr>
          <w:rFonts w:ascii="Times New Roman" w:hAnsi="Times New Roman" w:cs="Times New Roman"/>
          <w:sz w:val="24"/>
          <w:szCs w:val="24"/>
        </w:rPr>
        <w:t xml:space="preserve"> , obzirom na dodatno zaprimljene prekršajne predmete koji su ustupljeni od Općinskog suda u Šibeniku, očekujemo porast broja riješenih predmeta, kao i porast isplata troška braniteljima</w:t>
      </w:r>
      <w:r w:rsidRPr="00EC349A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EC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zbog porasta vrijednosti boda po odvjetničkoj tarifi) </w:t>
      </w:r>
      <w:r w:rsidRPr="00EC349A">
        <w:rPr>
          <w:rFonts w:ascii="Times New Roman" w:hAnsi="Times New Roman" w:cs="Times New Roman"/>
          <w:sz w:val="24"/>
          <w:szCs w:val="24"/>
        </w:rPr>
        <w:t>i sudskim vještacima, a kako su do sada potrošena razmjerno veća sredstva u odnosu na period prethodnih godina, to očekujemo da će biti nužno povećanje sredstava na ovoj stavci.</w:t>
      </w:r>
    </w:p>
    <w:p w:rsidR="00EC349A" w:rsidRPr="00EC349A" w:rsidRDefault="00EC349A" w:rsidP="00EC34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4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4223- Oprema za održavanje i zaštitu;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Pr="00EC34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5.309,00 €-2026.g.; 6.000,00 €-2027.g.; 2.500,00 €-2028.g.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su planirana radi nepredviđenih slučajeva nabave uredske opreme ili namještaja (npr. stolni telefon, uredske stolice, obnova sanitetskog materijala i sl.). </w:t>
      </w: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34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4231- Prijevozna sredstva u cestovnom prometu;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Pr="00EC34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6.000,00 € 2026.g.; 5.000,00 € 2027.g. i 5.000,00 € 2028.g-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napomenuti je i da je 2025 godine istekao ugovor o financijskom </w:t>
      </w:r>
      <w:proofErr w:type="spellStart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leasingu</w:t>
      </w:r>
      <w:proofErr w:type="spellEnd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službeno vozilo suda Škoda </w:t>
      </w:r>
      <w:proofErr w:type="spellStart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>Octavia</w:t>
      </w:r>
      <w:proofErr w:type="spellEnd"/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preneseno u vlasništvo suda, a kako ovaj Sud djeluje na devet lokacija ostavljamo mogućnost nabave još jednog vozila za potrebe Suda. Za istaknuti je da je ovaj Sud do 2020. raspolagao s dva vozila ali je jedno vozilo zbog dotrajalosti odjavljeno i prodano, a obzirom da će u 2026. postojeće službeno vozilo biti sedam godina staro i sve su veće potrebe za održavanjem istog a time i vrijeme provedeno na servisu kada Sudu nije na raspolaganju, a kako Sud djeluje na devet lokacija ukazuje se potreba za nabavom novog dodatnog vozila.</w:t>
      </w:r>
    </w:p>
    <w:p w:rsidR="00EC349A" w:rsidRPr="00EC349A" w:rsidRDefault="00EC349A" w:rsidP="00EC349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C349A" w:rsidRPr="00EC349A" w:rsidRDefault="00EC349A" w:rsidP="00EC349A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EC34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4511- Dodatna ulaganja u građevinskim objektima- 60.000,00 €-2026.g.; 10.000,00 €-2027.g.; 0 €-2028.g. </w:t>
      </w: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Zamjena stare i dotrajale drvene stolarije koja slabo brtvi tako da u slučajevima jačih kiša redovito dolazi do prodora vode kroz istu u unutarnje prostorije. Radi se o 40-tak komada stolarije različitih dimenzija, uz napomenu da su drugi korisnici s kojima dijelima zgradu na svojim prostorima odavno zamijenili stolariju.</w:t>
      </w:r>
      <w:r w:rsidRPr="00EC349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</w:t>
      </w:r>
    </w:p>
    <w:p w:rsidR="00EC349A" w:rsidRPr="00EC349A" w:rsidRDefault="00EC349A" w:rsidP="00EC3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349A">
        <w:rPr>
          <w:rFonts w:ascii="Times New Roman" w:eastAsia="Times New Roman" w:hAnsi="Times New Roman" w:cs="Times New Roman"/>
          <w:sz w:val="24"/>
          <w:szCs w:val="24"/>
          <w:lang w:eastAsia="hr-HR"/>
        </w:rPr>
        <w:t>U sjedištu suda na III. katu potrebno je zamijeniti stare električne instalacije jer u situacijama veće uporabe klima uređaja ljeti i zimi dolazi do preopterećenja istih te "ispadanja" osigurača i prekida napajanja.</w:t>
      </w:r>
    </w:p>
    <w:p w:rsidR="00210F8F" w:rsidRPr="00EC349A" w:rsidRDefault="00210F8F" w:rsidP="00EC34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0F8F" w:rsidRPr="00EC349A" w:rsidSect="00EF3C54">
      <w:footerReference w:type="default" r:id="rId7"/>
      <w:pgSz w:w="11906" w:h="16838" w:code="9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3A" w:rsidRDefault="00A83A3A">
      <w:pPr>
        <w:spacing w:after="0" w:line="240" w:lineRule="auto"/>
      </w:pPr>
      <w:r>
        <w:separator/>
      </w:r>
    </w:p>
  </w:endnote>
  <w:endnote w:type="continuationSeparator" w:id="0">
    <w:p w:rsidR="00A83A3A" w:rsidRDefault="00A8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19" w:rsidRDefault="00BC33A6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EC349A">
      <w:rPr>
        <w:noProof/>
      </w:rPr>
      <w:t>3</w:t>
    </w:r>
    <w:r>
      <w:fldChar w:fldCharType="end"/>
    </w:r>
  </w:p>
  <w:p w:rsidR="00D36119" w:rsidRDefault="00A83A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3A" w:rsidRDefault="00A83A3A">
      <w:pPr>
        <w:spacing w:after="0" w:line="240" w:lineRule="auto"/>
      </w:pPr>
      <w:r>
        <w:separator/>
      </w:r>
    </w:p>
  </w:footnote>
  <w:footnote w:type="continuationSeparator" w:id="0">
    <w:p w:rsidR="00A83A3A" w:rsidRDefault="00A8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31F"/>
    <w:multiLevelType w:val="hybridMultilevel"/>
    <w:tmpl w:val="915E3F4A"/>
    <w:lvl w:ilvl="0" w:tplc="6B226E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0611"/>
    <w:multiLevelType w:val="hybridMultilevel"/>
    <w:tmpl w:val="822AFC38"/>
    <w:lvl w:ilvl="0" w:tplc="FBD84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BB"/>
    <w:rsid w:val="00044B20"/>
    <w:rsid w:val="000D03CC"/>
    <w:rsid w:val="000D28BF"/>
    <w:rsid w:val="00100F2A"/>
    <w:rsid w:val="00146D70"/>
    <w:rsid w:val="00185E80"/>
    <w:rsid w:val="00210F8F"/>
    <w:rsid w:val="00261C0A"/>
    <w:rsid w:val="002A37E1"/>
    <w:rsid w:val="00345C02"/>
    <w:rsid w:val="00367981"/>
    <w:rsid w:val="003A3D5B"/>
    <w:rsid w:val="003B4092"/>
    <w:rsid w:val="003E7981"/>
    <w:rsid w:val="004A6F4D"/>
    <w:rsid w:val="00502B23"/>
    <w:rsid w:val="00517F1F"/>
    <w:rsid w:val="0054310B"/>
    <w:rsid w:val="005D7736"/>
    <w:rsid w:val="00655250"/>
    <w:rsid w:val="00702FBB"/>
    <w:rsid w:val="007259DB"/>
    <w:rsid w:val="007312DD"/>
    <w:rsid w:val="007F6CB2"/>
    <w:rsid w:val="00841994"/>
    <w:rsid w:val="00860605"/>
    <w:rsid w:val="008E1024"/>
    <w:rsid w:val="00927F07"/>
    <w:rsid w:val="00946094"/>
    <w:rsid w:val="00977062"/>
    <w:rsid w:val="009A38A7"/>
    <w:rsid w:val="009F71DB"/>
    <w:rsid w:val="00A83A3A"/>
    <w:rsid w:val="00AB249C"/>
    <w:rsid w:val="00B22D45"/>
    <w:rsid w:val="00B402F2"/>
    <w:rsid w:val="00B91FDF"/>
    <w:rsid w:val="00BC33A6"/>
    <w:rsid w:val="00BD4B31"/>
    <w:rsid w:val="00C54F97"/>
    <w:rsid w:val="00C85D3C"/>
    <w:rsid w:val="00CA73FF"/>
    <w:rsid w:val="00CC3864"/>
    <w:rsid w:val="00D81035"/>
    <w:rsid w:val="00E1331A"/>
    <w:rsid w:val="00EC349A"/>
    <w:rsid w:val="00EF7CDA"/>
    <w:rsid w:val="00F35047"/>
    <w:rsid w:val="00F73224"/>
    <w:rsid w:val="00FE322F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9BCC-9704-44B7-A85B-C2DAF82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02F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02FB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C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Zanki</dc:creator>
  <cp:keywords/>
  <dc:description/>
  <cp:lastModifiedBy>Nikolina Šušić</cp:lastModifiedBy>
  <cp:revision>29</cp:revision>
  <cp:lastPrinted>2023-10-17T07:06:00Z</cp:lastPrinted>
  <dcterms:created xsi:type="dcterms:W3CDTF">2022-10-14T05:57:00Z</dcterms:created>
  <dcterms:modified xsi:type="dcterms:W3CDTF">2025-09-24T12:21:00Z</dcterms:modified>
</cp:coreProperties>
</file>