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70B" w:rsidRDefault="007A370B">
      <w:pPr>
        <w:pStyle w:val="Bezproreda"/>
        <w:rPr>
          <w:rFonts w:ascii="Times New Roman" w:hAnsi="Times New Roman" w:cs="Times New Roman"/>
          <w:sz w:val="24"/>
          <w:szCs w:val="24"/>
        </w:rPr>
      </w:pPr>
      <w:bookmarkStart w:id="0" w:name="_GoBack"/>
      <w:bookmarkEnd w:id="0"/>
    </w:p>
    <w:p w:rsidR="007A370B" w:rsidRDefault="00040993">
      <w:pPr>
        <w:pStyle w:val="Bezproreda"/>
        <w:ind w:firstLine="708"/>
        <w:rPr>
          <w:rFonts w:ascii="Times New Roman" w:hAnsi="Times New Roman" w:cs="Times New Roman"/>
          <w:sz w:val="24"/>
          <w:szCs w:val="24"/>
        </w:rPr>
      </w:pPr>
      <w:r>
        <w:rPr>
          <w:noProof/>
          <w:lang w:eastAsia="hr-HR"/>
        </w:rPr>
        <w:drawing>
          <wp:inline distT="0" distB="0" distL="0" distR="0">
            <wp:extent cx="723900" cy="9620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6"/>
                    <a:stretch>
                      <a:fillRect/>
                    </a:stretch>
                  </pic:blipFill>
                  <pic:spPr bwMode="auto">
                    <a:xfrm>
                      <a:off x="0" y="0"/>
                      <a:ext cx="723900" cy="962025"/>
                    </a:xfrm>
                    <a:prstGeom prst="rect">
                      <a:avLst/>
                    </a:prstGeom>
                    <a:noFill/>
                  </pic:spPr>
                </pic:pic>
              </a:graphicData>
            </a:graphic>
          </wp:inline>
        </w:drawing>
      </w:r>
    </w:p>
    <w:p w:rsidR="007A370B" w:rsidRDefault="007A370B">
      <w:pPr>
        <w:pStyle w:val="Bezproreda"/>
        <w:rPr>
          <w:rFonts w:ascii="Times New Roman" w:hAnsi="Times New Roman" w:cs="Times New Roman"/>
          <w:sz w:val="24"/>
          <w:szCs w:val="24"/>
        </w:rPr>
      </w:pPr>
    </w:p>
    <w:p w:rsidR="007A370B" w:rsidRDefault="00040993">
      <w:pPr>
        <w:pStyle w:val="Bezproreda"/>
        <w:rPr>
          <w:rFonts w:ascii="Times New Roman" w:hAnsi="Times New Roman" w:cs="Times New Roman"/>
          <w:b/>
          <w:sz w:val="24"/>
          <w:szCs w:val="24"/>
        </w:rPr>
      </w:pPr>
      <w:r>
        <w:rPr>
          <w:rFonts w:ascii="Times New Roman" w:hAnsi="Times New Roman" w:cs="Times New Roman"/>
          <w:b/>
          <w:sz w:val="24"/>
          <w:szCs w:val="24"/>
        </w:rPr>
        <w:t>REPUBLIKA HRVATSKA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Broj RKP-a: 4253</w:t>
      </w:r>
    </w:p>
    <w:p w:rsidR="007A370B" w:rsidRDefault="00040993">
      <w:pPr>
        <w:pStyle w:val="Bezproreda"/>
        <w:rPr>
          <w:rFonts w:ascii="Times New Roman" w:hAnsi="Times New Roman" w:cs="Times New Roman"/>
          <w:b/>
          <w:sz w:val="24"/>
          <w:szCs w:val="24"/>
        </w:rPr>
      </w:pPr>
      <w:r>
        <w:rPr>
          <w:rFonts w:ascii="Times New Roman" w:hAnsi="Times New Roman" w:cs="Times New Roman"/>
          <w:b/>
          <w:sz w:val="24"/>
          <w:szCs w:val="24"/>
        </w:rPr>
        <w:t>OPĆINSKI SUD U RIJECI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Matični broj: 03321428</w:t>
      </w:r>
    </w:p>
    <w:p w:rsidR="007A370B" w:rsidRDefault="00040993">
      <w:pPr>
        <w:pStyle w:val="Bezproreda"/>
        <w:rPr>
          <w:rFonts w:ascii="Times New Roman" w:hAnsi="Times New Roman" w:cs="Times New Roman"/>
          <w:b/>
          <w:sz w:val="24"/>
          <w:szCs w:val="24"/>
        </w:rPr>
      </w:pPr>
      <w:r>
        <w:rPr>
          <w:rFonts w:ascii="Times New Roman" w:hAnsi="Times New Roman" w:cs="Times New Roman"/>
          <w:b/>
          <w:sz w:val="24"/>
          <w:szCs w:val="24"/>
        </w:rPr>
        <w:t>Žrtava fašizma 7, 51000 Rijeka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OIB: 54566384631</w:t>
      </w:r>
    </w:p>
    <w:p w:rsidR="007A370B" w:rsidRDefault="00040993">
      <w:pPr>
        <w:pStyle w:val="Bezproreda"/>
        <w:rPr>
          <w:rFonts w:ascii="Times New Roman" w:hAnsi="Times New Roman" w:cs="Times New Roman"/>
          <w:b/>
          <w:sz w:val="24"/>
          <w:szCs w:val="24"/>
        </w:rPr>
      </w:pPr>
      <w:r>
        <w:rPr>
          <w:rFonts w:ascii="Times New Roman" w:hAnsi="Times New Roman" w:cs="Times New Roman"/>
          <w:b/>
          <w:sz w:val="24"/>
          <w:szCs w:val="24"/>
        </w:rPr>
        <w:t>Razina: 11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7A370B" w:rsidRDefault="00040993">
      <w:pPr>
        <w:pStyle w:val="Bezproreda"/>
        <w:rPr>
          <w:rFonts w:ascii="Times New Roman" w:hAnsi="Times New Roman" w:cs="Times New Roman"/>
          <w:b/>
          <w:sz w:val="24"/>
          <w:szCs w:val="24"/>
        </w:rPr>
      </w:pPr>
      <w:r>
        <w:rPr>
          <w:rFonts w:ascii="Times New Roman" w:hAnsi="Times New Roman" w:cs="Times New Roman"/>
          <w:b/>
          <w:sz w:val="24"/>
          <w:szCs w:val="24"/>
        </w:rPr>
        <w:t>Razdjel: 109 Ministarstvo pravosuđa i uprave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A370B" w:rsidRDefault="00040993">
      <w:pPr>
        <w:pStyle w:val="Bezproreda"/>
        <w:rPr>
          <w:rFonts w:ascii="Times New Roman" w:hAnsi="Times New Roman" w:cs="Times New Roman"/>
          <w:b/>
          <w:sz w:val="24"/>
          <w:szCs w:val="24"/>
        </w:rPr>
      </w:pPr>
      <w:r>
        <w:rPr>
          <w:rFonts w:ascii="Times New Roman" w:hAnsi="Times New Roman" w:cs="Times New Roman"/>
          <w:b/>
          <w:sz w:val="24"/>
          <w:szCs w:val="24"/>
        </w:rPr>
        <w:t>Šifra djelatnosti prema NKD-u 2007.: 8423 Sudske i pravosudne djelatnosti</w:t>
      </w:r>
    </w:p>
    <w:p w:rsidR="007A370B" w:rsidRDefault="007A370B">
      <w:pPr>
        <w:pStyle w:val="Bezproreda"/>
        <w:rPr>
          <w:rFonts w:ascii="Times New Roman" w:hAnsi="Times New Roman" w:cs="Times New Roman"/>
          <w:b/>
          <w:sz w:val="24"/>
          <w:szCs w:val="24"/>
        </w:rPr>
      </w:pPr>
    </w:p>
    <w:p w:rsidR="007A370B" w:rsidRDefault="00040993">
      <w:pPr>
        <w:pStyle w:val="Bezproreda"/>
        <w:rPr>
          <w:rFonts w:ascii="Times New Roman" w:hAnsi="Times New Roman" w:cs="Times New Roman"/>
          <w:sz w:val="24"/>
          <w:szCs w:val="24"/>
        </w:rPr>
      </w:pPr>
      <w:r>
        <w:rPr>
          <w:rFonts w:ascii="Times New Roman" w:hAnsi="Times New Roman" w:cs="Times New Roman"/>
          <w:sz w:val="24"/>
          <w:szCs w:val="24"/>
        </w:rPr>
        <w:t xml:space="preserve">U Rijeci, 23. rujna 2025. godinegodine </w:t>
      </w:r>
    </w:p>
    <w:p w:rsidR="007A370B" w:rsidRDefault="007A370B">
      <w:pPr>
        <w:pStyle w:val="Bezproreda"/>
        <w:rPr>
          <w:rFonts w:ascii="Times New Roman" w:hAnsi="Times New Roman" w:cs="Times New Roman"/>
          <w:sz w:val="24"/>
          <w:szCs w:val="24"/>
        </w:rPr>
      </w:pPr>
    </w:p>
    <w:p w:rsidR="007A370B" w:rsidRDefault="007A370B">
      <w:pPr>
        <w:pStyle w:val="Standard"/>
        <w:rPr>
          <w:rFonts w:ascii="Times New Roman" w:hAnsi="Times New Roman"/>
        </w:rPr>
      </w:pPr>
    </w:p>
    <w:p w:rsidR="007A370B" w:rsidRDefault="007A370B">
      <w:pPr>
        <w:pStyle w:val="Standard"/>
        <w:rPr>
          <w:rFonts w:ascii="Times New Roman" w:hAnsi="Times New Roman"/>
        </w:rPr>
      </w:pPr>
    </w:p>
    <w:p w:rsidR="007A370B" w:rsidRDefault="00040993">
      <w:pPr>
        <w:pStyle w:val="Standard"/>
        <w:jc w:val="center"/>
        <w:rPr>
          <w:rFonts w:ascii="Times New Roman" w:hAnsi="Times New Roman"/>
        </w:rPr>
      </w:pPr>
      <w:r>
        <w:rPr>
          <w:rFonts w:ascii="Times New Roman" w:hAnsi="Times New Roman"/>
        </w:rPr>
        <w:t>OBRAZLOŽENJE OPĆEG DIJELA FINANCIJSKOG PLANA</w:t>
      </w:r>
    </w:p>
    <w:p w:rsidR="007A370B" w:rsidRDefault="007A370B">
      <w:pPr>
        <w:pStyle w:val="Standard"/>
        <w:rPr>
          <w:rFonts w:ascii="Times New Roman" w:hAnsi="Times New Roman"/>
        </w:rPr>
      </w:pPr>
    </w:p>
    <w:p w:rsidR="007A370B" w:rsidRDefault="007A370B">
      <w:pPr>
        <w:pStyle w:val="Standard"/>
        <w:rPr>
          <w:rFonts w:ascii="Times New Roman" w:hAnsi="Times New Roman"/>
        </w:rPr>
      </w:pPr>
    </w:p>
    <w:p w:rsidR="007A370B" w:rsidRDefault="00040993">
      <w:pPr>
        <w:pStyle w:val="Standard"/>
        <w:jc w:val="both"/>
        <w:rPr>
          <w:rFonts w:ascii="Times New Roman" w:hAnsi="Times New Roman"/>
        </w:rPr>
      </w:pPr>
      <w:r>
        <w:rPr>
          <w:rFonts w:ascii="Times New Roman" w:hAnsi="Times New Roman"/>
        </w:rPr>
        <w:tab/>
        <w:t>Sukladno čl. 36 Zakona o proračunu (Narodne novine br. 144/21) proračunski i izvanproračunski korisnici dužni su uz prijedlog financijskog plana izraditi dostaviti obrazloženje općeg dijela financijskog plana, kojeg dostavljamo u nastavku.</w:t>
      </w:r>
    </w:p>
    <w:p w:rsidR="007A370B" w:rsidRDefault="007A370B">
      <w:pPr>
        <w:pStyle w:val="Standard"/>
        <w:jc w:val="both"/>
        <w:rPr>
          <w:rFonts w:ascii="Times New Roman" w:hAnsi="Times New Roman"/>
        </w:rPr>
      </w:pPr>
    </w:p>
    <w:p w:rsidR="007A370B" w:rsidRDefault="007A370B">
      <w:pPr>
        <w:pStyle w:val="Standard"/>
        <w:jc w:val="both"/>
        <w:rPr>
          <w:rFonts w:ascii="Times New Roman" w:hAnsi="Times New Roman"/>
        </w:rPr>
      </w:pPr>
    </w:p>
    <w:p w:rsidR="007A370B" w:rsidRDefault="00040993">
      <w:pPr>
        <w:pStyle w:val="Standard"/>
        <w:rPr>
          <w:rFonts w:ascii="Times New Roman" w:hAnsi="Times New Roman"/>
        </w:rPr>
      </w:pPr>
      <w:r>
        <w:rPr>
          <w:rFonts w:ascii="Times New Roman" w:hAnsi="Times New Roman"/>
        </w:rPr>
        <w:t>PRIHODI I PRIMICI:</w:t>
      </w:r>
    </w:p>
    <w:p w:rsidR="007A370B" w:rsidRDefault="007A370B">
      <w:pPr>
        <w:pStyle w:val="Standard"/>
        <w:rPr>
          <w:rFonts w:ascii="Times New Roman" w:hAnsi="Times New Roman"/>
        </w:rPr>
      </w:pPr>
    </w:p>
    <w:p w:rsidR="007A370B" w:rsidRDefault="00040993">
      <w:pPr>
        <w:pStyle w:val="Standard"/>
        <w:jc w:val="both"/>
      </w:pPr>
      <w:r>
        <w:rPr>
          <w:rFonts w:ascii="Times New Roman" w:hAnsi="Times New Roman"/>
        </w:rPr>
        <w:tab/>
        <w:t>Općinski sud u Rijeci u cijelosti se financira iz nadležnog proračuna Ministarstva pravosuđa, uprave i digitalne transformacije. U odnosu na 2025. proračunsku godinu zadani su limiti za unos financijskog plana u iznosu od 13.782.825,00 € za 2026. godinu, te projekcije sukladno limitima za 2027. godinu iznos od 13.929.020,00 € te za 2027. godinu iznos od 13.712.900,00 €.</w:t>
      </w:r>
    </w:p>
    <w:p w:rsidR="007A370B" w:rsidRDefault="00040993">
      <w:pPr>
        <w:pStyle w:val="Standard"/>
        <w:jc w:val="both"/>
        <w:rPr>
          <w:rFonts w:ascii="Times New Roman" w:hAnsi="Times New Roman"/>
        </w:rPr>
      </w:pPr>
      <w:r>
        <w:rPr>
          <w:rFonts w:ascii="Times New Roman" w:hAnsi="Times New Roman"/>
        </w:rPr>
        <w:tab/>
      </w:r>
    </w:p>
    <w:p w:rsidR="007A370B" w:rsidRDefault="00040993">
      <w:pPr>
        <w:pStyle w:val="Standard"/>
        <w:jc w:val="both"/>
        <w:rPr>
          <w:rFonts w:ascii="Times New Roman" w:hAnsi="Times New Roman"/>
        </w:rPr>
      </w:pPr>
      <w:r>
        <w:rPr>
          <w:rFonts w:ascii="Times New Roman" w:hAnsi="Times New Roman"/>
        </w:rPr>
        <w:tab/>
        <w:t>U skladu s Zakonom o proračunu Općinski sud u Rijeci ostvaruje prihode od usluga kopiranja sudskih akata. Dosadašnja dinamika naplate vlastitih prihoda pokazuje pad u odnosu na prethodne godine, a pretpostavka njihova smanjenja u dijelu pružanja usluga kopiranja sudskih akata proizlazi iz mogućnosti uporabe raznih uređaja za fotografiranje spisa predviđeno čl. 44. Sudskog poslovnika.</w:t>
      </w:r>
    </w:p>
    <w:p w:rsidR="007A370B" w:rsidRDefault="007A370B">
      <w:pPr>
        <w:pStyle w:val="Standard"/>
        <w:jc w:val="both"/>
        <w:rPr>
          <w:rFonts w:ascii="Times New Roman" w:hAnsi="Times New Roman"/>
        </w:rPr>
      </w:pPr>
    </w:p>
    <w:p w:rsidR="007A370B" w:rsidRDefault="00040993">
      <w:pPr>
        <w:pStyle w:val="Standard"/>
        <w:jc w:val="both"/>
      </w:pPr>
      <w:r>
        <w:rPr>
          <w:rFonts w:ascii="Calibri" w:hAnsi="Calibri"/>
        </w:rPr>
        <w:tab/>
      </w:r>
      <w:r>
        <w:rPr>
          <w:rFonts w:ascii="Times New Roman" w:hAnsi="Times New Roman"/>
        </w:rPr>
        <w:t>Područje nadležnosti Općinskog suda u Rijeci trenutno obuhvaća tri katastarske općine osnovane radi obavljanja poslova na  obnovi zemljišnih knjiga. ( k.o. Škalnica, k.o. Marinići te k.o.Sveti Kuzam). Za sve navedene katastarske općine sklopljeni su Sporazumi o sufinanciranju poslova obnove zemljišnih knjiga između Ministarstva pravosuđa, Općinskog suda u Rijeci  s Općinom Klana, Općinom Viškovo i Gradom Rijeka. Novčana sredstva sukladno Sporazumima osigurana su za financiranje materijalnih troškova ( poštanske usluge,  korištenje uredskog materijala), te za novčane naknade članovima zemljišnoknjižnih povjerenstva u provedbi postupaka obnove zemljišne knjige. Također je u pripremi pokretanje postupaka obnove zemljišnih knjiga za k.o. Breza - nova, Draga, Dražice -nova, Lisac - nova, Podhum - nova, Rečina, Stari grad i drugih prema Detaljnom planu Vlade za 2022. i 2023. godinu.</w:t>
      </w:r>
    </w:p>
    <w:p w:rsidR="007A370B" w:rsidRDefault="00040993">
      <w:pPr>
        <w:pStyle w:val="Standard"/>
        <w:jc w:val="both"/>
        <w:rPr>
          <w:rFonts w:ascii="Times New Roman" w:hAnsi="Times New Roman"/>
        </w:rPr>
      </w:pPr>
      <w:r>
        <w:rPr>
          <w:rFonts w:ascii="Times New Roman" w:hAnsi="Times New Roman"/>
        </w:rPr>
        <w:lastRenderedPageBreak/>
        <w:t xml:space="preserve"> </w:t>
      </w:r>
    </w:p>
    <w:p w:rsidR="007A370B" w:rsidRDefault="00040993">
      <w:pPr>
        <w:pStyle w:val="Standard"/>
        <w:jc w:val="both"/>
        <w:rPr>
          <w:rFonts w:ascii="Times New Roman" w:hAnsi="Times New Roman"/>
        </w:rPr>
      </w:pPr>
      <w:r>
        <w:rPr>
          <w:rFonts w:ascii="Times New Roman" w:hAnsi="Times New Roman"/>
        </w:rPr>
        <w:tab/>
        <w:t>RASHODI I IZDACI:</w:t>
      </w:r>
    </w:p>
    <w:p w:rsidR="007A370B" w:rsidRDefault="007A370B">
      <w:pPr>
        <w:pStyle w:val="Standard"/>
        <w:jc w:val="both"/>
        <w:rPr>
          <w:rFonts w:ascii="Times New Roman" w:hAnsi="Times New Roman"/>
        </w:rPr>
      </w:pPr>
    </w:p>
    <w:p w:rsidR="007A370B" w:rsidRDefault="00040993">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hAnsi="Times New Roman"/>
          <w:sz w:val="24"/>
          <w:szCs w:val="24"/>
        </w:rPr>
        <w:t>Prijedlog plana proračuna za 2026.-2028. godine napravljen je sukladno Uputi Ministarstva pravosuđa, uprave i digitalne transformacije obzirom na naputak da se pridržavamo limita dostavljenih od strane nadležnog ministarstva, iako je iz istih ograničenja već sada razvidno da će zadani limiti za većinu rashoda biti nedostatni. U nastavku</w:t>
      </w:r>
      <w:r>
        <w:rPr>
          <w:rFonts w:ascii="Times New Roman" w:eastAsia="Times New Roman" w:hAnsi="Times New Roman" w:cs="Times New Roman"/>
          <w:color w:val="000000"/>
          <w:sz w:val="24"/>
          <w:szCs w:val="24"/>
          <w:lang w:eastAsia="hr-HR"/>
        </w:rPr>
        <w:t xml:space="preserve"> obrazlažemo pozicije za koje će novčana sredstva biti nedovoljna. </w:t>
      </w:r>
    </w:p>
    <w:p w:rsidR="007A370B" w:rsidRDefault="007A370B">
      <w:pPr>
        <w:pStyle w:val="Standard"/>
        <w:jc w:val="both"/>
        <w:rPr>
          <w:rFonts w:ascii="Times New Roman" w:hAnsi="Times New Roman"/>
        </w:rPr>
      </w:pPr>
    </w:p>
    <w:p w:rsidR="007A370B" w:rsidRDefault="007A370B">
      <w:pPr>
        <w:pStyle w:val="Standard"/>
        <w:jc w:val="both"/>
        <w:rPr>
          <w:rFonts w:ascii="Times New Roman" w:hAnsi="Times New Roman"/>
        </w:rPr>
      </w:pPr>
    </w:p>
    <w:p w:rsidR="007A370B" w:rsidRDefault="00040993">
      <w:pPr>
        <w:pStyle w:val="Standard"/>
        <w:jc w:val="both"/>
        <w:rPr>
          <w:rFonts w:ascii="Times New Roman" w:hAnsi="Times New Roman"/>
          <w:u w:val="single"/>
        </w:rPr>
      </w:pPr>
      <w:r>
        <w:rPr>
          <w:rFonts w:ascii="Times New Roman" w:hAnsi="Times New Roman"/>
          <w:u w:val="single"/>
        </w:rPr>
        <w:t xml:space="preserve">Rashodi za zaposlene: </w:t>
      </w:r>
    </w:p>
    <w:p w:rsidR="007A370B" w:rsidRDefault="007A370B">
      <w:pPr>
        <w:pStyle w:val="Standard"/>
        <w:jc w:val="both"/>
        <w:rPr>
          <w:rFonts w:ascii="Times New Roman" w:hAnsi="Times New Roman"/>
        </w:rPr>
      </w:pPr>
    </w:p>
    <w:p w:rsidR="007A370B" w:rsidRDefault="00040993">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hAnsi="Times New Roman"/>
          <w:b/>
          <w:sz w:val="24"/>
          <w:szCs w:val="24"/>
          <w:u w:val="single"/>
        </w:rPr>
        <w:t>Plaće za redovan rad</w:t>
      </w:r>
      <w:r>
        <w:rPr>
          <w:rFonts w:ascii="Times New Roman" w:hAnsi="Times New Roman"/>
          <w:b/>
          <w:sz w:val="24"/>
          <w:szCs w:val="24"/>
        </w:rPr>
        <w:t xml:space="preserve">  </w:t>
      </w:r>
      <w:r>
        <w:rPr>
          <w:rFonts w:ascii="Times New Roman" w:eastAsia="Times New Roman" w:hAnsi="Times New Roman" w:cs="Times New Roman"/>
          <w:color w:val="000000"/>
          <w:sz w:val="24"/>
          <w:szCs w:val="24"/>
          <w:lang w:eastAsia="hr-HR"/>
        </w:rPr>
        <w:t>prilikom izrade financijskog plana za 2026. godinu te projekcijama za 2027. i 2028. godinu utvrđeno je da će na poziciji plaća za redovan rad biti nedostatnih sredstava. Naime, uvidom u financijska knjiženja te sintetiku rekapitulacija plaća utvrđeno je da je za mjesečni utrošak bruto plaće za mjesec kolovoz 2025. godine bilo potrebno izdvojiti cca. 653.000,00 €. Umnoškom potrebitih sredstava i brojem mjeseci potrebnih za jednogodišnje razdoblje isplate plaće dolazi se do zaključka da je za isto potrebno cca. 7.836.000,00 €, odnosno uzevši u obzirom povećanje osnovice od 3 %  koje će uslijediti u rujnu 2025.godine, ukupan potrebiti iznos je 8.071,080,00 € a koji iznos neće biti dostatan za planirana nova zapošljavanja, odnosno dodijeljena novčana sredstva će biti dostatna za zapošljavanje tek četiri nova dužnosnika/suca.</w:t>
      </w:r>
    </w:p>
    <w:p w:rsidR="007A370B" w:rsidRDefault="007A370B">
      <w:pPr>
        <w:spacing w:after="0" w:line="240" w:lineRule="auto"/>
        <w:jc w:val="both"/>
        <w:rPr>
          <w:rFonts w:ascii="Times New Roman" w:eastAsia="Times New Roman" w:hAnsi="Times New Roman" w:cs="Times New Roman"/>
          <w:color w:val="000000"/>
          <w:sz w:val="24"/>
          <w:szCs w:val="24"/>
          <w:lang w:eastAsia="hr-HR"/>
        </w:rPr>
      </w:pPr>
    </w:p>
    <w:p w:rsidR="007A370B" w:rsidRDefault="00040993">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 2025. godini, a temeljem dobivenih suglasnosti planirano je pored navedenih imenovanja  četiri nova dužnosnika/ suca još i zapošljavanje 12 administrativnih referenata – sudskih zapisničara, 3 administrativna referenta – sudskih upisničara, 2 zemljišno knjižna referenta, 3 sudska savjetnika te 1 računovodstvenog referenta. </w:t>
      </w:r>
    </w:p>
    <w:p w:rsidR="007A370B" w:rsidRDefault="007A370B">
      <w:pPr>
        <w:spacing w:after="0" w:line="240" w:lineRule="auto"/>
        <w:jc w:val="both"/>
        <w:rPr>
          <w:rFonts w:ascii="Times New Roman" w:eastAsia="Times New Roman" w:hAnsi="Times New Roman" w:cs="Times New Roman"/>
          <w:sz w:val="24"/>
          <w:szCs w:val="24"/>
          <w:lang w:eastAsia="hr-HR"/>
        </w:rPr>
      </w:pPr>
    </w:p>
    <w:p w:rsidR="007A370B" w:rsidRDefault="00040993">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Povrh toga, u 2026. godini planirana su zapošljavanja i to: 3 dužnosnika/ sudaca,  1 informatičkog referenta, 3 administrativna </w:t>
      </w:r>
      <w:r w:rsidR="00382BCA">
        <w:rPr>
          <w:rFonts w:ascii="Times New Roman" w:eastAsia="Times New Roman" w:hAnsi="Times New Roman" w:cs="Times New Roman"/>
          <w:color w:val="000000"/>
          <w:sz w:val="24"/>
          <w:szCs w:val="24"/>
          <w:lang w:eastAsia="hr-HR"/>
        </w:rPr>
        <w:t>referenta – sudskih zapisničara. N</w:t>
      </w:r>
      <w:r w:rsidR="003F2C2F">
        <w:rPr>
          <w:rFonts w:ascii="Times New Roman" w:eastAsia="Times New Roman" w:hAnsi="Times New Roman" w:cs="Times New Roman"/>
          <w:color w:val="000000"/>
          <w:sz w:val="24"/>
          <w:szCs w:val="24"/>
          <w:lang w:eastAsia="hr-HR"/>
        </w:rPr>
        <w:t>adalje, planirana su sljedeća  napredovanja:</w:t>
      </w:r>
      <w:r>
        <w:rPr>
          <w:rFonts w:ascii="Times New Roman" w:eastAsia="Times New Roman" w:hAnsi="Times New Roman" w:cs="Times New Roman"/>
          <w:color w:val="000000"/>
          <w:sz w:val="24"/>
          <w:szCs w:val="24"/>
          <w:lang w:eastAsia="hr-HR"/>
        </w:rPr>
        <w:t xml:space="preserve"> jednog višeg savjetnika u Odjelu materijalno financijskog poslovanja</w:t>
      </w:r>
      <w:r w:rsidR="00382BCA">
        <w:rPr>
          <w:rFonts w:ascii="Times New Roman" w:eastAsia="Times New Roman" w:hAnsi="Times New Roman" w:cs="Times New Roman"/>
          <w:color w:val="000000"/>
          <w:sz w:val="24"/>
          <w:szCs w:val="24"/>
          <w:lang w:eastAsia="hr-HR"/>
        </w:rPr>
        <w:t xml:space="preserve"> na mjesto voditelja odjela</w:t>
      </w:r>
      <w:r w:rsidR="003F2C2F">
        <w:rPr>
          <w:rFonts w:ascii="Times New Roman" w:eastAsia="Times New Roman" w:hAnsi="Times New Roman" w:cs="Times New Roman"/>
          <w:color w:val="000000"/>
          <w:sz w:val="24"/>
          <w:szCs w:val="24"/>
          <w:lang w:eastAsia="hr-HR"/>
        </w:rPr>
        <w:t>, računovodstvenog referenta u višeg savjetnika, te jednog službenika na radno mjesto voditelja u sudu</w:t>
      </w:r>
      <w:r w:rsidR="00EF6EA3">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 </w:t>
      </w:r>
    </w:p>
    <w:p w:rsidR="007A370B" w:rsidRDefault="007A370B">
      <w:pPr>
        <w:spacing w:after="0" w:line="240" w:lineRule="auto"/>
        <w:jc w:val="both"/>
        <w:rPr>
          <w:rFonts w:ascii="Times New Roman" w:eastAsia="Times New Roman" w:hAnsi="Times New Roman" w:cs="Times New Roman"/>
          <w:color w:val="000000"/>
          <w:sz w:val="24"/>
          <w:szCs w:val="24"/>
          <w:lang w:eastAsia="hr-HR"/>
        </w:rPr>
      </w:pPr>
    </w:p>
    <w:p w:rsidR="007A370B" w:rsidRDefault="00040993">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Napominjemo da procjena navedenih novo zapošljavanja nije uvrštena u financijski plan za 2026. godinu sve obzirom na postavljene limite ministarstva, ali je potreba za zapošljavanjem prijeko potrebna, kako u 2025.  tako i 2026.godini, a za koja zapošljavanja su i dobivene suglasnosti od nadležnog ministarstva u 2025.godini.</w:t>
      </w:r>
    </w:p>
    <w:p w:rsidR="007A370B" w:rsidRDefault="007A370B">
      <w:pPr>
        <w:spacing w:after="0" w:line="240" w:lineRule="auto"/>
        <w:ind w:firstLine="708"/>
        <w:jc w:val="both"/>
        <w:rPr>
          <w:rFonts w:ascii="Times New Roman" w:eastAsia="Times New Roman" w:hAnsi="Times New Roman" w:cs="Times New Roman"/>
          <w:color w:val="000000"/>
          <w:sz w:val="24"/>
          <w:szCs w:val="24"/>
          <w:lang w:eastAsia="hr-HR"/>
        </w:rPr>
      </w:pPr>
    </w:p>
    <w:p w:rsidR="007A370B" w:rsidRDefault="007A370B">
      <w:pPr>
        <w:spacing w:after="0" w:line="240" w:lineRule="auto"/>
        <w:ind w:firstLine="708"/>
        <w:jc w:val="both"/>
        <w:rPr>
          <w:rFonts w:ascii="Times New Roman" w:eastAsia="Times New Roman" w:hAnsi="Times New Roman" w:cs="Times New Roman"/>
          <w:color w:val="000000"/>
          <w:sz w:val="24"/>
          <w:szCs w:val="24"/>
          <w:lang w:eastAsia="hr-HR"/>
        </w:rPr>
      </w:pPr>
    </w:p>
    <w:p w:rsidR="007A370B" w:rsidRDefault="00040993">
      <w:pPr>
        <w:pStyle w:val="Bezproreda"/>
        <w:ind w:firstLine="708"/>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color w:val="000000"/>
          <w:sz w:val="24"/>
          <w:szCs w:val="24"/>
          <w:u w:val="single"/>
          <w:lang w:eastAsia="hr-HR"/>
        </w:rPr>
        <w:t>Plaće za prekovremeni</w:t>
      </w:r>
      <w:r>
        <w:rPr>
          <w:rFonts w:ascii="Times New Roman" w:eastAsia="Times New Roman" w:hAnsi="Times New Roman" w:cs="Times New Roman"/>
          <w:b/>
          <w:color w:val="000000"/>
          <w:sz w:val="24"/>
          <w:szCs w:val="24"/>
          <w:lang w:eastAsia="hr-HR"/>
        </w:rPr>
        <w:t xml:space="preserve">  </w:t>
      </w:r>
      <w:r>
        <w:rPr>
          <w:rFonts w:ascii="Times New Roman" w:eastAsia="Times New Roman" w:hAnsi="Times New Roman" w:cs="Times New Roman"/>
          <w:color w:val="000000"/>
          <w:sz w:val="24"/>
          <w:szCs w:val="24"/>
          <w:lang w:eastAsia="hr-HR"/>
        </w:rPr>
        <w:t>f</w:t>
      </w:r>
      <w:r>
        <w:rPr>
          <w:rFonts w:ascii="Times New Roman" w:hAnsi="Times New Roman" w:cs="Times New Roman"/>
          <w:sz w:val="24"/>
          <w:szCs w:val="24"/>
        </w:rPr>
        <w:t>inancijskim planom za 2026. godinu, a sukladno limitima  Ministarstva financija nismo bili u mogućnosti planirati novčana sredstva za prekovremeni rad na drugim poslovima izuzev administrativnih poslova poput</w:t>
      </w:r>
      <w:r>
        <w:rPr>
          <w:rFonts w:ascii="Times New Roman" w:eastAsia="Times New Roman" w:hAnsi="Times New Roman" w:cs="Times New Roman"/>
          <w:color w:val="000000"/>
          <w:sz w:val="24"/>
          <w:szCs w:val="24"/>
          <w:lang w:eastAsia="hr-HR"/>
        </w:rPr>
        <w:t xml:space="preserve"> otpreme poziva, pisanja kratkih dopisa,  izrade rješenja o naplati pristojbe i slično) te rada kroz aplikaciju eSpis, eKomunikacija i ePošta a koji poslovi su se do sada  uspješno obavljali u prekovremenom radu.  Za isto bi bilo potrebno dodatnih  cca. 50.000,00 €., a obzirom na veliku fluktuaciju administrativnih referenata/ sudskih zapisničara. </w:t>
      </w:r>
    </w:p>
    <w:p w:rsidR="007A370B" w:rsidRDefault="007A370B">
      <w:pPr>
        <w:pStyle w:val="Bezproreda"/>
        <w:ind w:firstLine="708"/>
        <w:rPr>
          <w:rFonts w:ascii="Times New Roman" w:eastAsia="Times New Roman" w:hAnsi="Times New Roman" w:cs="Times New Roman"/>
          <w:color w:val="000000"/>
          <w:sz w:val="24"/>
          <w:szCs w:val="24"/>
          <w:lang w:eastAsia="hr-HR"/>
        </w:rPr>
      </w:pPr>
    </w:p>
    <w:p w:rsidR="007A370B" w:rsidRDefault="007A370B">
      <w:pPr>
        <w:pStyle w:val="Bezproreda"/>
        <w:ind w:firstLine="708"/>
        <w:rPr>
          <w:rFonts w:ascii="Times New Roman" w:hAnsi="Times New Roman" w:cs="Times New Roman"/>
          <w:sz w:val="24"/>
          <w:szCs w:val="24"/>
        </w:rPr>
      </w:pPr>
    </w:p>
    <w:p w:rsidR="007A370B" w:rsidRDefault="007A370B">
      <w:pPr>
        <w:pStyle w:val="Bezproreda"/>
        <w:ind w:firstLine="708"/>
        <w:rPr>
          <w:rFonts w:ascii="Times New Roman" w:hAnsi="Times New Roman" w:cs="Times New Roman"/>
          <w:sz w:val="24"/>
          <w:szCs w:val="24"/>
        </w:rPr>
      </w:pPr>
    </w:p>
    <w:p w:rsidR="007A370B" w:rsidRDefault="007A370B">
      <w:pPr>
        <w:pStyle w:val="Bezproreda"/>
        <w:ind w:firstLine="708"/>
        <w:rPr>
          <w:rFonts w:ascii="Times New Roman" w:hAnsi="Times New Roman" w:cs="Times New Roman"/>
          <w:sz w:val="24"/>
          <w:szCs w:val="24"/>
        </w:rPr>
      </w:pPr>
    </w:p>
    <w:p w:rsidR="007A370B" w:rsidRDefault="00040993">
      <w:pPr>
        <w:pStyle w:val="Bezproreda"/>
        <w:ind w:firstLine="708"/>
        <w:rPr>
          <w:rFonts w:ascii="Times New Roman" w:hAnsi="Times New Roman" w:cs="Times New Roman"/>
          <w:sz w:val="24"/>
          <w:szCs w:val="24"/>
        </w:rPr>
      </w:pPr>
      <w:r>
        <w:rPr>
          <w:rFonts w:ascii="Times New Roman" w:hAnsi="Times New Roman"/>
          <w:u w:val="single"/>
        </w:rPr>
        <w:t>Materijalni rashodi:</w:t>
      </w:r>
      <w:r>
        <w:rPr>
          <w:rFonts w:ascii="Times New Roman" w:hAnsi="Times New Roman"/>
        </w:rPr>
        <w:t xml:space="preserve"> </w:t>
      </w:r>
    </w:p>
    <w:p w:rsidR="007A370B" w:rsidRDefault="007A370B">
      <w:pPr>
        <w:pStyle w:val="Bezproreda"/>
        <w:ind w:firstLine="708"/>
        <w:rPr>
          <w:rFonts w:ascii="Times New Roman" w:hAnsi="Times New Roman" w:cs="Times New Roman"/>
          <w:sz w:val="24"/>
          <w:szCs w:val="24"/>
        </w:rPr>
      </w:pPr>
    </w:p>
    <w:p w:rsidR="007A370B" w:rsidRDefault="00040993">
      <w:pPr>
        <w:pStyle w:val="Bezproreda"/>
        <w:ind w:firstLine="708"/>
        <w:rPr>
          <w:rFonts w:ascii="Times New Roman" w:hAnsi="Times New Roman"/>
          <w:b/>
          <w:bCs/>
          <w:u w:val="single"/>
        </w:rPr>
      </w:pPr>
      <w:r>
        <w:rPr>
          <w:rFonts w:ascii="Times New Roman" w:hAnsi="Times New Roman"/>
          <w:b/>
          <w:bCs/>
          <w:u w:val="single"/>
        </w:rPr>
        <w:t>Intelektualne usluge</w:t>
      </w:r>
      <w:r>
        <w:rPr>
          <w:rFonts w:ascii="Times New Roman" w:hAnsi="Times New Roman"/>
        </w:rPr>
        <w:t xml:space="preserve"> obzirom na postavljene limite ministarstva, rashodi za intelektualne usluge nisu planirani u realnom trošku. Naime, u prvih 7 mjeseci 2025.godine utrošena su sva sredstva na poziciji intelektualnih usluga dobivenih financijskim planom za 2025.godinu. Uštede na istima nisu moguće, obzirom na potrebu isplata odvjetnicima, stalnim sudskim tumačima, stalnim sudskim vještacima i dr., a sve sukladno rješenjima/ nalozima sudaca/ sudskih savjetnika u kaznenim i prekršajnim postupcima. </w:t>
      </w:r>
    </w:p>
    <w:p w:rsidR="007A370B" w:rsidRDefault="007A370B">
      <w:pPr>
        <w:pStyle w:val="Standard"/>
        <w:jc w:val="both"/>
        <w:rPr>
          <w:rFonts w:ascii="Times New Roman" w:hAnsi="Times New Roman"/>
        </w:rPr>
      </w:pPr>
    </w:p>
    <w:p w:rsidR="007A370B" w:rsidRDefault="00040993">
      <w:pPr>
        <w:pStyle w:val="Standard"/>
        <w:jc w:val="both"/>
        <w:rPr>
          <w:rFonts w:ascii="Times New Roman" w:hAnsi="Times New Roman"/>
        </w:rPr>
      </w:pPr>
      <w:r>
        <w:rPr>
          <w:rFonts w:ascii="Times New Roman" w:hAnsi="Times New Roman"/>
        </w:rPr>
        <w:t>PRIJENOS SREDSTAVA IZ PRETHODNE I U SLJEDEĆU GODINU:</w:t>
      </w:r>
    </w:p>
    <w:p w:rsidR="007A370B" w:rsidRDefault="007A370B">
      <w:pPr>
        <w:pStyle w:val="Standard"/>
        <w:jc w:val="both"/>
        <w:rPr>
          <w:rFonts w:ascii="Times New Roman" w:hAnsi="Times New Roman"/>
        </w:rPr>
      </w:pPr>
    </w:p>
    <w:p w:rsidR="007A370B" w:rsidRDefault="00040993">
      <w:pPr>
        <w:pStyle w:val="Standard"/>
        <w:jc w:val="both"/>
        <w:rPr>
          <w:rFonts w:ascii="Times New Roman" w:hAnsi="Times New Roman"/>
        </w:rPr>
      </w:pPr>
      <w:r>
        <w:rPr>
          <w:rFonts w:ascii="Times New Roman" w:hAnsi="Times New Roman"/>
        </w:rPr>
        <w:tab/>
        <w:t>Općinski sud u Rijeci izuzev prijenosa vlastitih prihoda, a koji su za 2025. godinu iznosili 2.134,36 €, te novčanih sredstava osiguranih za financiranje materijalnih troškova poštanskih usluga, uredskog materijala, kao i za novčane naknade članovima zemljišnoknjižnih povjerenstva u provedbi postupaka obnove zemljišne knjige sukladno Sporazumima sklopljenim između Općinskog suda u Rijeci i općina i gradova nema drugih prijenosa sredstava u iduću proračunsku godinu.</w:t>
      </w:r>
    </w:p>
    <w:p w:rsidR="007A370B" w:rsidRDefault="00040993">
      <w:pPr>
        <w:pStyle w:val="Standard"/>
        <w:jc w:val="both"/>
        <w:rPr>
          <w:rFonts w:ascii="Times New Roman" w:hAnsi="Times New Roman"/>
        </w:rPr>
      </w:pPr>
      <w:r>
        <w:rPr>
          <w:rFonts w:ascii="Times New Roman" w:hAnsi="Times New Roman"/>
        </w:rPr>
        <w:tab/>
        <w:t>Prijenos sredstava za 2026. godinu teško je predvidjeti obzirom isto ovisi o uspješnosti naplate vlastitih prihoda, utrošenim sredstvima do kraja proračunske 2025. godine, te  financiranja od strane općina i gradova.</w:t>
      </w:r>
    </w:p>
    <w:p w:rsidR="007A370B" w:rsidRDefault="007A370B">
      <w:pPr>
        <w:pStyle w:val="Standard"/>
        <w:jc w:val="both"/>
        <w:rPr>
          <w:rFonts w:ascii="Times New Roman" w:hAnsi="Times New Roman"/>
        </w:rPr>
      </w:pPr>
    </w:p>
    <w:p w:rsidR="007A370B" w:rsidRDefault="007A370B">
      <w:pPr>
        <w:pStyle w:val="Standard"/>
        <w:jc w:val="both"/>
        <w:rPr>
          <w:rFonts w:ascii="Times New Roman" w:hAnsi="Times New Roman"/>
        </w:rPr>
      </w:pPr>
    </w:p>
    <w:p w:rsidR="007A370B" w:rsidRDefault="007A370B">
      <w:pPr>
        <w:pStyle w:val="Standard"/>
        <w:jc w:val="both"/>
        <w:rPr>
          <w:rFonts w:ascii="Times New Roman" w:hAnsi="Times New Roman"/>
        </w:rPr>
      </w:pPr>
    </w:p>
    <w:p w:rsidR="007A370B" w:rsidRDefault="00040993">
      <w:pPr>
        <w:pStyle w:val="Standard"/>
        <w:jc w:val="both"/>
        <w:rPr>
          <w:rFonts w:ascii="Times New Roman" w:hAnsi="Times New Roman"/>
        </w:rPr>
      </w:pPr>
      <w:r>
        <w:rPr>
          <w:rFonts w:ascii="Times New Roman" w:hAnsi="Times New Roman"/>
        </w:rPr>
        <w:t>UKUPNE I DOSPJELE OBVEZE:</w:t>
      </w:r>
    </w:p>
    <w:p w:rsidR="007A370B" w:rsidRDefault="007A370B">
      <w:pPr>
        <w:pStyle w:val="Standard"/>
        <w:jc w:val="both"/>
        <w:rPr>
          <w:rFonts w:ascii="Times New Roman" w:hAnsi="Times New Roman"/>
        </w:rPr>
      </w:pPr>
    </w:p>
    <w:p w:rsidR="007A370B" w:rsidRDefault="007A370B">
      <w:pPr>
        <w:pStyle w:val="Standard"/>
        <w:jc w:val="both"/>
        <w:rPr>
          <w:rFonts w:ascii="Times New Roman" w:hAnsi="Times New Roman"/>
        </w:rPr>
      </w:pPr>
    </w:p>
    <w:tbl>
      <w:tblPr>
        <w:tblStyle w:val="Reetkatablice"/>
        <w:tblW w:w="9062" w:type="dxa"/>
        <w:tblLayout w:type="fixed"/>
        <w:tblLook w:val="04A0" w:firstRow="1" w:lastRow="0" w:firstColumn="1" w:lastColumn="0" w:noHBand="0" w:noVBand="1"/>
      </w:tblPr>
      <w:tblGrid>
        <w:gridCol w:w="1811"/>
        <w:gridCol w:w="236"/>
        <w:gridCol w:w="3388"/>
        <w:gridCol w:w="236"/>
        <w:gridCol w:w="3391"/>
      </w:tblGrid>
      <w:tr w:rsidR="007A370B">
        <w:tc>
          <w:tcPr>
            <w:tcW w:w="1812" w:type="dxa"/>
            <w:vMerge w:val="restart"/>
          </w:tcPr>
          <w:p w:rsidR="007A370B" w:rsidRDefault="007A370B">
            <w:pPr>
              <w:pStyle w:val="Standard"/>
              <w:jc w:val="both"/>
              <w:rPr>
                <w:rFonts w:ascii="Times New Roman" w:hAnsi="Times New Roman"/>
              </w:rPr>
            </w:pPr>
          </w:p>
        </w:tc>
        <w:tc>
          <w:tcPr>
            <w:tcW w:w="3624" w:type="dxa"/>
            <w:gridSpan w:val="2"/>
            <w:vAlign w:val="center"/>
          </w:tcPr>
          <w:p w:rsidR="007A370B" w:rsidRDefault="00040993">
            <w:pPr>
              <w:pStyle w:val="Standard"/>
              <w:jc w:val="center"/>
              <w:rPr>
                <w:rFonts w:ascii="Times New Roman" w:hAnsi="Times New Roman"/>
              </w:rPr>
            </w:pPr>
            <w:r>
              <w:rPr>
                <w:rFonts w:ascii="Times New Roman" w:hAnsi="Times New Roman"/>
              </w:rPr>
              <w:t>Stanje obveza na dan 31.12.2024.</w:t>
            </w:r>
          </w:p>
        </w:tc>
        <w:tc>
          <w:tcPr>
            <w:tcW w:w="3626" w:type="dxa"/>
            <w:gridSpan w:val="2"/>
            <w:vAlign w:val="center"/>
          </w:tcPr>
          <w:p w:rsidR="007A370B" w:rsidRDefault="00040993">
            <w:pPr>
              <w:pStyle w:val="Standard"/>
              <w:jc w:val="center"/>
              <w:rPr>
                <w:rFonts w:ascii="Times New Roman" w:hAnsi="Times New Roman"/>
              </w:rPr>
            </w:pPr>
            <w:r>
              <w:rPr>
                <w:rFonts w:ascii="Times New Roman" w:hAnsi="Times New Roman"/>
              </w:rPr>
              <w:t>Stanje obveza na dan 30.06.2025.</w:t>
            </w:r>
          </w:p>
        </w:tc>
      </w:tr>
      <w:tr w:rsidR="007A370B">
        <w:tc>
          <w:tcPr>
            <w:tcW w:w="1812" w:type="dxa"/>
            <w:vMerge/>
            <w:vAlign w:val="center"/>
          </w:tcPr>
          <w:p w:rsidR="007A370B" w:rsidRDefault="007A370B">
            <w:pPr>
              <w:pStyle w:val="Standard"/>
              <w:rPr>
                <w:rFonts w:ascii="Times New Roman" w:hAnsi="Times New Roman"/>
              </w:rPr>
            </w:pPr>
          </w:p>
        </w:tc>
        <w:tc>
          <w:tcPr>
            <w:tcW w:w="236" w:type="dxa"/>
            <w:vAlign w:val="center"/>
          </w:tcPr>
          <w:p w:rsidR="007A370B" w:rsidRDefault="007A370B">
            <w:pPr>
              <w:pStyle w:val="Standard"/>
              <w:jc w:val="center"/>
              <w:rPr>
                <w:rFonts w:ascii="Times New Roman" w:hAnsi="Times New Roman"/>
              </w:rPr>
            </w:pPr>
          </w:p>
        </w:tc>
        <w:tc>
          <w:tcPr>
            <w:tcW w:w="3389" w:type="dxa"/>
            <w:vAlign w:val="center"/>
          </w:tcPr>
          <w:p w:rsidR="007A370B" w:rsidRDefault="00040993">
            <w:pPr>
              <w:pStyle w:val="Standard"/>
              <w:jc w:val="center"/>
              <w:rPr>
                <w:rFonts w:ascii="Times New Roman" w:hAnsi="Times New Roman"/>
              </w:rPr>
            </w:pPr>
            <w:r>
              <w:rPr>
                <w:rFonts w:ascii="Times New Roman" w:hAnsi="Times New Roman"/>
              </w:rPr>
              <w:t>EUR</w:t>
            </w:r>
          </w:p>
        </w:tc>
        <w:tc>
          <w:tcPr>
            <w:tcW w:w="234" w:type="dxa"/>
            <w:vAlign w:val="center"/>
          </w:tcPr>
          <w:p w:rsidR="007A370B" w:rsidRDefault="007A370B">
            <w:pPr>
              <w:pStyle w:val="Standard"/>
              <w:jc w:val="center"/>
              <w:rPr>
                <w:rFonts w:ascii="Times New Roman" w:hAnsi="Times New Roman"/>
              </w:rPr>
            </w:pPr>
          </w:p>
        </w:tc>
        <w:tc>
          <w:tcPr>
            <w:tcW w:w="3391" w:type="dxa"/>
            <w:vAlign w:val="center"/>
          </w:tcPr>
          <w:p w:rsidR="007A370B" w:rsidRDefault="00040993">
            <w:pPr>
              <w:pStyle w:val="Standard"/>
              <w:jc w:val="center"/>
              <w:rPr>
                <w:rFonts w:ascii="Times New Roman" w:hAnsi="Times New Roman"/>
              </w:rPr>
            </w:pPr>
            <w:r>
              <w:rPr>
                <w:rFonts w:ascii="Times New Roman" w:hAnsi="Times New Roman"/>
              </w:rPr>
              <w:t>EUR</w:t>
            </w:r>
          </w:p>
        </w:tc>
      </w:tr>
      <w:tr w:rsidR="007A370B">
        <w:tc>
          <w:tcPr>
            <w:tcW w:w="1812" w:type="dxa"/>
            <w:vAlign w:val="center"/>
          </w:tcPr>
          <w:p w:rsidR="007A370B" w:rsidRDefault="00040993">
            <w:pPr>
              <w:pStyle w:val="Standard"/>
              <w:rPr>
                <w:rFonts w:ascii="Times New Roman" w:hAnsi="Times New Roman"/>
              </w:rPr>
            </w:pPr>
            <w:r>
              <w:rPr>
                <w:rFonts w:ascii="Times New Roman" w:hAnsi="Times New Roman"/>
              </w:rPr>
              <w:t>Ukupne obveze</w:t>
            </w:r>
          </w:p>
        </w:tc>
        <w:tc>
          <w:tcPr>
            <w:tcW w:w="236" w:type="dxa"/>
            <w:vAlign w:val="center"/>
          </w:tcPr>
          <w:p w:rsidR="007A370B" w:rsidRDefault="007A370B">
            <w:pPr>
              <w:pStyle w:val="Standard"/>
              <w:jc w:val="center"/>
              <w:rPr>
                <w:rFonts w:ascii="Times New Roman" w:hAnsi="Times New Roman"/>
              </w:rPr>
            </w:pPr>
          </w:p>
        </w:tc>
        <w:tc>
          <w:tcPr>
            <w:tcW w:w="3389" w:type="dxa"/>
            <w:vAlign w:val="center"/>
          </w:tcPr>
          <w:p w:rsidR="007A370B" w:rsidRDefault="00040993">
            <w:pPr>
              <w:pStyle w:val="Standard"/>
              <w:jc w:val="center"/>
              <w:rPr>
                <w:rFonts w:ascii="Times New Roman" w:hAnsi="Times New Roman"/>
              </w:rPr>
            </w:pPr>
            <w:r>
              <w:rPr>
                <w:rFonts w:ascii="Times New Roman" w:hAnsi="Times New Roman"/>
              </w:rPr>
              <w:t>12.827.572,57</w:t>
            </w:r>
          </w:p>
        </w:tc>
        <w:tc>
          <w:tcPr>
            <w:tcW w:w="234" w:type="dxa"/>
            <w:vAlign w:val="center"/>
          </w:tcPr>
          <w:p w:rsidR="007A370B" w:rsidRDefault="007A370B">
            <w:pPr>
              <w:pStyle w:val="Standard"/>
              <w:jc w:val="center"/>
              <w:rPr>
                <w:rFonts w:ascii="Times New Roman" w:hAnsi="Times New Roman"/>
              </w:rPr>
            </w:pPr>
          </w:p>
        </w:tc>
        <w:tc>
          <w:tcPr>
            <w:tcW w:w="3391" w:type="dxa"/>
            <w:vAlign w:val="center"/>
          </w:tcPr>
          <w:p w:rsidR="007A370B" w:rsidRDefault="00040993">
            <w:pPr>
              <w:pStyle w:val="Standard"/>
              <w:jc w:val="center"/>
              <w:rPr>
                <w:rFonts w:ascii="Times New Roman" w:hAnsi="Times New Roman"/>
              </w:rPr>
            </w:pPr>
            <w:r>
              <w:rPr>
                <w:rFonts w:ascii="Times New Roman" w:hAnsi="Times New Roman"/>
              </w:rPr>
              <w:t>12.074.582,28</w:t>
            </w:r>
          </w:p>
        </w:tc>
      </w:tr>
      <w:tr w:rsidR="007A370B">
        <w:tc>
          <w:tcPr>
            <w:tcW w:w="1812" w:type="dxa"/>
            <w:vAlign w:val="center"/>
          </w:tcPr>
          <w:p w:rsidR="007A370B" w:rsidRDefault="00040993">
            <w:pPr>
              <w:pStyle w:val="Standard"/>
              <w:rPr>
                <w:rFonts w:ascii="Times New Roman" w:hAnsi="Times New Roman"/>
              </w:rPr>
            </w:pPr>
            <w:r>
              <w:rPr>
                <w:rFonts w:ascii="Times New Roman" w:hAnsi="Times New Roman"/>
              </w:rPr>
              <w:t>Dospjele obveze</w:t>
            </w:r>
          </w:p>
        </w:tc>
        <w:tc>
          <w:tcPr>
            <w:tcW w:w="236" w:type="dxa"/>
            <w:vAlign w:val="center"/>
          </w:tcPr>
          <w:p w:rsidR="007A370B" w:rsidRDefault="007A370B">
            <w:pPr>
              <w:pStyle w:val="Standard"/>
              <w:jc w:val="center"/>
              <w:rPr>
                <w:rFonts w:ascii="Times New Roman" w:hAnsi="Times New Roman"/>
              </w:rPr>
            </w:pPr>
          </w:p>
        </w:tc>
        <w:tc>
          <w:tcPr>
            <w:tcW w:w="3389" w:type="dxa"/>
            <w:vAlign w:val="center"/>
          </w:tcPr>
          <w:p w:rsidR="007A370B" w:rsidRDefault="00040993">
            <w:pPr>
              <w:pStyle w:val="Standard"/>
              <w:jc w:val="center"/>
              <w:rPr>
                <w:rFonts w:ascii="Times New Roman" w:hAnsi="Times New Roman"/>
              </w:rPr>
            </w:pPr>
            <w:r>
              <w:rPr>
                <w:rFonts w:ascii="Times New Roman" w:hAnsi="Times New Roman"/>
              </w:rPr>
              <w:t>7.764,59</w:t>
            </w:r>
          </w:p>
        </w:tc>
        <w:tc>
          <w:tcPr>
            <w:tcW w:w="234" w:type="dxa"/>
            <w:vAlign w:val="center"/>
          </w:tcPr>
          <w:p w:rsidR="007A370B" w:rsidRDefault="007A370B">
            <w:pPr>
              <w:pStyle w:val="Standard"/>
              <w:jc w:val="center"/>
              <w:rPr>
                <w:rFonts w:ascii="Times New Roman" w:hAnsi="Times New Roman"/>
              </w:rPr>
            </w:pPr>
          </w:p>
        </w:tc>
        <w:tc>
          <w:tcPr>
            <w:tcW w:w="3391" w:type="dxa"/>
            <w:vAlign w:val="center"/>
          </w:tcPr>
          <w:p w:rsidR="007A370B" w:rsidRDefault="00040993">
            <w:pPr>
              <w:pStyle w:val="Standard"/>
              <w:jc w:val="center"/>
              <w:rPr>
                <w:rFonts w:ascii="Times New Roman" w:hAnsi="Times New Roman"/>
              </w:rPr>
            </w:pPr>
            <w:r>
              <w:rPr>
                <w:rFonts w:ascii="Times New Roman" w:hAnsi="Times New Roman"/>
              </w:rPr>
              <w:t>2.580,23</w:t>
            </w:r>
          </w:p>
        </w:tc>
      </w:tr>
    </w:tbl>
    <w:p w:rsidR="007A370B" w:rsidRDefault="007A370B">
      <w:pPr>
        <w:pStyle w:val="Standard"/>
        <w:jc w:val="both"/>
        <w:rPr>
          <w:rFonts w:ascii="Times New Roman" w:hAnsi="Times New Roman"/>
        </w:rPr>
      </w:pPr>
    </w:p>
    <w:p w:rsidR="007A370B" w:rsidRDefault="007A370B">
      <w:pPr>
        <w:pStyle w:val="Standard"/>
        <w:jc w:val="both"/>
        <w:rPr>
          <w:rFonts w:ascii="Times New Roman" w:hAnsi="Times New Roman"/>
        </w:rPr>
      </w:pPr>
    </w:p>
    <w:p w:rsidR="007A370B" w:rsidRDefault="007A370B">
      <w:pPr>
        <w:pStyle w:val="Standard"/>
        <w:jc w:val="both"/>
        <w:rPr>
          <w:rFonts w:ascii="Times New Roman" w:hAnsi="Times New Roman"/>
        </w:rPr>
      </w:pPr>
    </w:p>
    <w:p w:rsidR="007A370B" w:rsidRDefault="007A370B">
      <w:pPr>
        <w:pStyle w:val="Standard"/>
        <w:jc w:val="both"/>
        <w:rPr>
          <w:rFonts w:ascii="Times New Roman" w:hAnsi="Times New Roman"/>
        </w:rPr>
      </w:pPr>
    </w:p>
    <w:sectPr w:rsidR="007A370B">
      <w:headerReference w:type="default" r:id="rId7"/>
      <w:pgSz w:w="11906" w:h="16838"/>
      <w:pgMar w:top="1417" w:right="1417" w:bottom="1417" w:left="1417"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562" w:rsidRDefault="00D61562">
      <w:pPr>
        <w:spacing w:after="0" w:line="240" w:lineRule="auto"/>
      </w:pPr>
      <w:r>
        <w:separator/>
      </w:r>
    </w:p>
  </w:endnote>
  <w:endnote w:type="continuationSeparator" w:id="0">
    <w:p w:rsidR="00D61562" w:rsidRDefault="00D61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562" w:rsidRDefault="00D61562">
      <w:pPr>
        <w:spacing w:after="0" w:line="240" w:lineRule="auto"/>
      </w:pPr>
      <w:r>
        <w:separator/>
      </w:r>
    </w:p>
  </w:footnote>
  <w:footnote w:type="continuationSeparator" w:id="0">
    <w:p w:rsidR="00D61562" w:rsidRDefault="00D61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163507"/>
      <w:docPartObj>
        <w:docPartGallery w:val="Page Numbers (Top of Page)"/>
        <w:docPartUnique/>
      </w:docPartObj>
    </w:sdtPr>
    <w:sdtEndPr/>
    <w:sdtContent>
      <w:p w:rsidR="007A370B" w:rsidRDefault="00040993">
        <w:pPr>
          <w:pStyle w:val="Zaglavlje"/>
          <w:jc w:val="center"/>
        </w:pPr>
        <w:r>
          <w:fldChar w:fldCharType="begin"/>
        </w:r>
        <w:r>
          <w:instrText xml:space="preserve"> PAGE </w:instrText>
        </w:r>
        <w:r>
          <w:fldChar w:fldCharType="separate"/>
        </w:r>
        <w:r w:rsidR="00DB04AF">
          <w:rPr>
            <w:noProof/>
          </w:rPr>
          <w:t>2</w:t>
        </w:r>
        <w:r>
          <w:fldChar w:fldCharType="end"/>
        </w:r>
      </w:p>
    </w:sdtContent>
  </w:sdt>
  <w:p w:rsidR="007A370B" w:rsidRDefault="007A370B">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0B"/>
    <w:rsid w:val="00040993"/>
    <w:rsid w:val="00382BCA"/>
    <w:rsid w:val="003F2C2F"/>
    <w:rsid w:val="007A370B"/>
    <w:rsid w:val="0082701E"/>
    <w:rsid w:val="00AE3A5D"/>
    <w:rsid w:val="00D61562"/>
    <w:rsid w:val="00DB04AF"/>
    <w:rsid w:val="00EF6EA3"/>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AD08C-82C9-4A90-A6C0-13FCB03E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376AC6"/>
    <w:rPr>
      <w:rFonts w:ascii="Segoe UI" w:hAnsi="Segoe UI" w:cs="Segoe UI"/>
      <w:sz w:val="18"/>
      <w:szCs w:val="18"/>
    </w:rPr>
  </w:style>
  <w:style w:type="character" w:customStyle="1" w:styleId="ZaglavljeChar">
    <w:name w:val="Zaglavlje Char"/>
    <w:basedOn w:val="Zadanifontodlomka"/>
    <w:link w:val="Zaglavlje"/>
    <w:uiPriority w:val="99"/>
    <w:qFormat/>
    <w:rsid w:val="00721BC6"/>
  </w:style>
  <w:style w:type="character" w:customStyle="1" w:styleId="PodnojeChar">
    <w:name w:val="Podnožje Char"/>
    <w:basedOn w:val="Zadanifontodlomka"/>
    <w:link w:val="Podnoje"/>
    <w:uiPriority w:val="99"/>
    <w:qFormat/>
    <w:rsid w:val="00721BC6"/>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Bezproreda">
    <w:name w:val="No Spacing"/>
    <w:uiPriority w:val="1"/>
    <w:qFormat/>
    <w:rsid w:val="00173B9E"/>
    <w:pPr>
      <w:jc w:val="both"/>
    </w:pPr>
  </w:style>
  <w:style w:type="paragraph" w:styleId="Tekstbalonia">
    <w:name w:val="Balloon Text"/>
    <w:basedOn w:val="Normal"/>
    <w:link w:val="TekstbaloniaChar"/>
    <w:uiPriority w:val="99"/>
    <w:semiHidden/>
    <w:unhideWhenUsed/>
    <w:qFormat/>
    <w:rsid w:val="00376AC6"/>
    <w:pPr>
      <w:spacing w:after="0" w:line="240" w:lineRule="auto"/>
    </w:pPr>
    <w:rPr>
      <w:rFonts w:ascii="Segoe UI" w:hAnsi="Segoe UI" w:cs="Segoe UI"/>
      <w:sz w:val="18"/>
      <w:szCs w:val="18"/>
    </w:rPr>
  </w:style>
  <w:style w:type="paragraph" w:customStyle="1" w:styleId="Standard">
    <w:name w:val="Standard"/>
    <w:qFormat/>
    <w:rsid w:val="00721BC6"/>
    <w:pPr>
      <w:widowControl w:val="0"/>
      <w:textAlignment w:val="baseline"/>
    </w:pPr>
    <w:rPr>
      <w:rFonts w:ascii="Liberation Serif" w:eastAsia="Segoe UI" w:hAnsi="Liberation Serif" w:cs="Tahoma"/>
      <w:color w:val="000000"/>
      <w:kern w:val="2"/>
      <w:sz w:val="24"/>
      <w:szCs w:val="24"/>
      <w:lang w:eastAsia="zh-CN" w:bidi="hi-IN"/>
    </w:rPr>
  </w:style>
  <w:style w:type="paragraph" w:customStyle="1" w:styleId="Sadrajitablice">
    <w:name w:val="Sadržaji tablice"/>
    <w:basedOn w:val="Standard"/>
    <w:qFormat/>
    <w:rsid w:val="00721BC6"/>
    <w:pPr>
      <w:suppressLineNumbers/>
    </w:pPr>
  </w:style>
  <w:style w:type="paragraph" w:customStyle="1" w:styleId="HeaderandFooter">
    <w:name w:val="Header and Footer"/>
    <w:basedOn w:val="Normal"/>
    <w:qFormat/>
  </w:style>
  <w:style w:type="paragraph" w:styleId="Zaglavlje">
    <w:name w:val="header"/>
    <w:basedOn w:val="Normal"/>
    <w:link w:val="ZaglavljeChar"/>
    <w:uiPriority w:val="99"/>
    <w:unhideWhenUsed/>
    <w:rsid w:val="00721BC6"/>
    <w:pPr>
      <w:tabs>
        <w:tab w:val="center" w:pos="4536"/>
        <w:tab w:val="right" w:pos="9072"/>
      </w:tabs>
      <w:spacing w:after="0" w:line="240" w:lineRule="auto"/>
    </w:pPr>
  </w:style>
  <w:style w:type="paragraph" w:styleId="Podnoje">
    <w:name w:val="footer"/>
    <w:basedOn w:val="Normal"/>
    <w:link w:val="PodnojeChar"/>
    <w:uiPriority w:val="99"/>
    <w:unhideWhenUsed/>
    <w:rsid w:val="00721BC6"/>
    <w:pPr>
      <w:tabs>
        <w:tab w:val="center" w:pos="4536"/>
        <w:tab w:val="right" w:pos="9072"/>
      </w:tabs>
      <w:spacing w:after="0" w:line="240" w:lineRule="auto"/>
    </w:pPr>
  </w:style>
  <w:style w:type="table" w:styleId="Reetkatablice">
    <w:name w:val="Table Grid"/>
    <w:basedOn w:val="Obinatablica"/>
    <w:uiPriority w:val="39"/>
    <w:rsid w:val="00702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5735</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Prgić Ivošić</dc:creator>
  <dc:description/>
  <cp:lastModifiedBy>Mirela Prgić Ivošić</cp:lastModifiedBy>
  <cp:revision>2</cp:revision>
  <cp:lastPrinted>2024-11-08T09:30:00Z</cp:lastPrinted>
  <dcterms:created xsi:type="dcterms:W3CDTF">2025-12-19T09:15:00Z</dcterms:created>
  <dcterms:modified xsi:type="dcterms:W3CDTF">2025-12-19T09:15:00Z</dcterms:modified>
  <dc:language>hr-HR</dc:language>
</cp:coreProperties>
</file>