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e9f6644e0450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4212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OPĆINSKI SUD  U POŽEGI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2.089.411,20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2.514.112,69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2.093.131,85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2.705.695,56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3.720,65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191.582,87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5149,2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2.593,48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6.314,13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191.582,87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3034,2</w:t>
            </w:r>
          </w:p>
        </w:tc>
      </w:tr>
    </w:tbl>
    <w:p>
      <w:pPr>
        <w:spacing w:before="0" w:after="0"/>
      </w:pPr>
    </w:p>
    <w:p>
      <w:r>
        <w:t xml:space="preserve">Ukupni prihodi poslovanja (6) iznose 2.514.112,69 €, a ukupni rashodi (3) iznose 2.705.695,56 €. U ovom obračunskom razdoblju ostvaren je manjak prihoda poslovanja u iznosu od 191.582,87 € (Y001). S obzirom da nemamo ostvarenih prihoda i rashoda od nefinancijske i financijske imovine, manjak prihoda i primitaka također iznosi 191.582,87 € (Y005). </w:t>
      </w:r>
      <w:r>
        <w:br/>
      </w:r>
      <w:r>
        <w:t xml:space="preserve">U navedenom razdoblju najznačajnije povećanje prihoda vidljivo je na kontu 6615 - prihodi od pruženih usluga kopiranja i presnimavanja medija za 152,7%, te prihoda iz nadležnog proračuna za financiranje nastalih rashoda 20,4%. Najznačajnije povećanje rashoda ostvareno je na kontu 3237 - intelektualne i osobne usluge, a što ovisi o primljenim pravomoćnim rješenjima za isplatu nagrade odvjetnicima, sudskim vještacima, sudskim tumačima i naknade sucima porotnicima. Najznačajnije smanjenje rashoda u promatranom razdoblju ostvareno je na kontu prekovremeni rad (zemljišnoknjižni odjel nije imao potrebu za odrađivanjem prekovremenih sati), te na nekim kontima od materijalnih rashoda (usluge promidžbe i informiranja - zbog centraliziranog sustava zapošljavanja, isplata naknada za očevide - smanjen broj izlazaka izvan zgrade suda).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2.089.411,20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2.514.112,69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Prema iskazanim podacima Općinski sud u Požegi je tijekom 2025. godine ostvario prihode u visini 2.514.112,69 €, i to:</w:t>
      </w:r>
    </w:p>
    <w:p>
      <w:pPr>
        <w:pStyle w:val="ListParagraph"/>
        <w:numPr>
          <w:ilvl w:val="0"/>
          <w:numId w:val="2"/>
        </w:numPr>
      </w:pPr>
      <w:r>
        <w:t xml:space="preserve">prihod za kamate na oročena sredstva i depozite po viđenju - 25,03 € (6413)</w:t>
      </w:r>
    </w:p>
    <w:p>
      <w:pPr>
        <w:pStyle w:val="ListParagraph"/>
        <w:numPr>
          <w:ilvl w:val="0"/>
          <w:numId w:val="2"/>
        </w:numPr>
      </w:pPr>
      <w:r>
        <w:t xml:space="preserve">prihod ostvaren od uplata stranaka za očevide - 1.930,54 € (6526) </w:t>
      </w:r>
    </w:p>
    <w:p>
      <w:pPr>
        <w:pStyle w:val="ListParagraph"/>
        <w:numPr>
          <w:ilvl w:val="0"/>
          <w:numId w:val="2"/>
        </w:numPr>
      </w:pPr>
      <w:r>
        <w:t xml:space="preserve">prihod od pruženih usluga kopiranja/presnimavanja u sudskim spisima - vlastiti prihodi - 624,97 € (6615)</w:t>
      </w:r>
    </w:p>
    <w:p>
      <w:pPr>
        <w:pStyle w:val="ListParagraph"/>
        <w:numPr>
          <w:ilvl w:val="0"/>
          <w:numId w:val="2"/>
        </w:numPr>
      </w:pPr>
      <w:r>
        <w:t xml:space="preserve">iz nadležnog proračuna za financiranje rashoda poslovanja - 2.511.532,15 € (6711)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51,9</w:t>
            </w:r>
          </w:p>
        </w:tc>
      </w:tr>
    </w:tbl>
    <w:p>
      <w:pPr>
        <w:spacing w:before="0" w:after="0"/>
      </w:pPr>
    </w:p>
    <w:p>
      <w:r>
        <w:t xml:space="preserve">Ostali nespomenuti prihodi se odnose na obavljanje službene radnje izvan zgrade suda, te su smanjeni u odnosu na prethodno razdoblje jer je smanjena potreba izlazaka izvan zgrade suda u sudskim predmetima.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252,7</w:t>
            </w:r>
          </w:p>
        </w:tc>
      </w:tr>
    </w:tbl>
    <w:p>
      <w:pPr>
        <w:spacing w:before="0" w:after="0"/>
      </w:pPr>
    </w:p>
    <w:p>
      <w:r>
        <w:t xml:space="preserve">Prihodi od pruženih usluga odnose se na usluge kopiranja i presnimavanja sudskih akata povećani su u odnosu na prethodnu godinu, a ovise o potrebama stranaka u sudskom postupku.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2.082.827,25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2.511.532,15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Prihodi iz nadležnog proračuna povećani su u odnosu na prethodno razdoblje za 20,6% zbog povećanih rashoda u promatranom razdoblju, a najviše zbog povećanja rashoda zaposlenih i materijalnih rashoda. Najznačajnija povećanja su na kontima stručnom usavršavanju zaposlenika, sitnom inventaru i autogumama, uslugama tekućeg i investicijskog održavanja te na intelektualnim i osobnim uslugama.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2.093.131,85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2.705.695,56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U odnosu na prethodno razdoblje, došlo je do povećanja rashoda poslovanja za 29,3%.</w:t>
      </w:r>
    </w:p>
    <w:p>
      <w:r>
        <w:t xml:space="preserve">Rashodi poslovanja ostvareni su u visini 2.705.695,56, a odnose se na rashode za zaposlene - 2.167.375,12 € (31), materijalne rashode - 536.191,17 € (32) i financijske rashode - 2.129,27 € (34).                        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1.803.601,86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2.167.375,12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Slijedom navedenog  rashodi za zaposlene (31) su veći 20,2% odnosu na prethodno razdoblje, a zbog promjene osnovice za izračun plaće državnih dužnosnika koja je stupila na snagu 01. ožujka 2025. (NN 34/2025 – Odluka o proglašenju Zakona o izmjeni Zakona o plaćama i drugim materijalnim pravima pravosudnih dužnosnika), te promjene osnovice za plaću za rujan svih državnih službenika, namještenika i pravosudnih dužnosnika, a temeljem Dodatka IV. Kolektivnog ugovora. Isto tako, povećanje rashoda uzrokovala je i primjena novog Pravilnika o proračunskom računovodstvu i računskom planu (NN 158/23 i 154/24), te je tako ovo obračunsko razdoblje obuhvatilo trinaest rashoda plaće jer je ukinuta podskupina računa 193 – kontinuirani rashodi. Do porasta plaće u promatranom razdoblju došlo je i zbog zapošljavanja novih djelatnika (dobivena suglasnost zbog odlazaka djelatnika u mirovinu). Jedan od zaposlenih je osoba s invaliditetom kojoj je priznato pravo za mirovinsko osiguranje za staž sa povećanim trajanjem. U lipnju je na dužnost stupio i jedan državni dužnosnik. Prema Zaključku Vlade, KLASA: 022-03/24-07/408, URBROJ: 50301-04/32-24-3 od 12. prosinca 2024. godine, a u svrhu usklađenja podataka u zemljišnoj knjizi i katastru, zaposlili smo i dva viša zemljišnoknjižna referenta.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10.667,60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4.984,91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46,7</w:t>
            </w:r>
          </w:p>
        </w:tc>
      </w:tr>
    </w:tbl>
    <w:p>
      <w:pPr>
        <w:spacing w:before="0" w:after="0"/>
      </w:pPr>
    </w:p>
    <w:p>
      <w:r>
        <w:t xml:space="preserve">Plaće za prekovremeni rad manje su u odnosu na prethodno razdoblje za 53,3% jer zemljišnoknjižni odjel u ovoj godini nije imao potrebu za  prekovremenim satima.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57.713,84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79.041,66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137,0</w:t>
            </w:r>
          </w:p>
        </w:tc>
      </w:tr>
    </w:tbl>
    <w:p>
      <w:pPr>
        <w:spacing w:before="0" w:after="0"/>
      </w:pPr>
    </w:p>
    <w:p>
      <w:r>
        <w:t xml:space="preserve">Ostali rashodi za zaposlene povećani su u odnosu na prethodno razdoblje jer je u 2025. godini isplaćeno više jubilarnih nagrada, otpremnina, potpora kao i drugih prava po Kolektivnom ugovoru (božićnica, uskrsnica, regres).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35.150,08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40.537,10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Naknade za prijevoz, za rad na terenu i odvojeni život su povećane 15,3% u odnosu na prethodno razdoblje zbog zapošljavanja novih državnih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146,3</w:t>
            </w:r>
          </w:p>
        </w:tc>
      </w:tr>
    </w:tbl>
    <w:p>
      <w:pPr>
        <w:spacing w:before="0" w:after="0"/>
      </w:pPr>
    </w:p>
    <w:p>
      <w:r>
        <w:t xml:space="preserve">Rashodi za stručno usavršavanje zaposlenika su povećani u odnosu na prethodno razdoblje za 46,3% zbog odlaska na seminare i radionice za pravosudne dužnosnike i državne službenike te usavršavanja državnih službenika na području javne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38.478,08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151,1</w:t>
            </w:r>
          </w:p>
        </w:tc>
      </w:tr>
    </w:tbl>
    <w:p>
      <w:pPr>
        <w:spacing w:before="0" w:after="0"/>
      </w:pPr>
    </w:p>
    <w:p>
      <w:r>
        <w:t xml:space="preserve">Rashodi za energiju bilježe povećanje u odnosu na prethodno razdoblje od 51,10%, a najviše se odrazilo na kontu za prirodni plin. Rashodi za električnu energiju nisu značajno povećani zbog Uredbe Vlade RH kojom se pomože u reguliranju cijena energije.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258,2</w:t>
            </w:r>
          </w:p>
        </w:tc>
      </w:tr>
    </w:tbl>
    <w:p>
      <w:pPr>
        <w:spacing w:before="0" w:after="0"/>
      </w:pPr>
    </w:p>
    <w:p>
      <w:r>
        <w:t xml:space="preserve">Znatno povećanje rashoda na kontu sitnog inventara i autoguma u odnosu na prethodno razdoblje nastalo je zbog nabavke sitnog inventara za potrebe redovnog obavljanja djelatnosti i kupovine ljetnih i zimskih autoguma za službena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9.482,92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29.598,95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312,1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u 2025. godini su u odnosu na prošlu godinu bilježile značajano povećanje i to zbog izvedenih radova u kotlovnici suda.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56,7</w:t>
            </w:r>
          </w:p>
        </w:tc>
      </w:tr>
    </w:tbl>
    <w:p>
      <w:pPr>
        <w:spacing w:before="0" w:after="0"/>
      </w:pPr>
    </w:p>
    <w:p>
      <w:r>
        <w:t xml:space="preserve">Usluge promidže i informiranja smanjene su za 43,3% u odnosu na prethodno razdoblje zbog uvođenja novog načina objavljivanja oglasa u Centraliziranom sustavu za zapošljavanje.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54.041,17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243.718,43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451,0</w:t>
            </w:r>
          </w:p>
        </w:tc>
      </w:tr>
    </w:tbl>
    <w:p>
      <w:pPr>
        <w:spacing w:before="0" w:after="0"/>
      </w:pPr>
    </w:p>
    <w:p>
      <w:r>
        <w:t xml:space="preserve">Rashodi za intelektualne i osobne usluge su znatno povećani u odnosu na prethodno razdoblje. Rashodi za intelektualne i osobne usluge ovise o primljenim rješenjima za isplatu troškova sudionicima u postupku (nagrade braniteljima, sudskim vještacima, sucima porotnicima, sudskim tumačima).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48,5</w:t>
            </w:r>
          </w:p>
        </w:tc>
      </w:tr>
    </w:tbl>
    <w:p>
      <w:pPr>
        <w:spacing w:before="0" w:after="0"/>
      </w:pPr>
    </w:p>
    <w:p>
      <w:r>
        <w:t xml:space="preserve">Ostale usluge su smanjene u odnosu na prethodno razdoblje za 51,50%. Na ovom kontu imamo rashode za usluge registracije službenih vozila i grafičke i tiskarske usluge, koje su manje u odnosu na 2024. godinu.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57,0</w:t>
            </w:r>
          </w:p>
        </w:tc>
      </w:tr>
    </w:tbl>
    <w:p>
      <w:pPr>
        <w:spacing w:before="0" w:after="0"/>
      </w:pPr>
    </w:p>
    <w:p>
      <w:r>
        <w:t xml:space="preserve">Naknade za rad predstavničkih i izvršnih tijela, povjerenstava i slično odnose se na obračunate troškove za naknade za očevide, a smanjene su u odnosu na prethodno razdoblje jer se smanjio broj obavljanja službenih radnji izvan zgrade suda.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</w:tbl>
    <w:p>
      <w:pPr>
        <w:spacing w:before="0" w:after="0"/>
      </w:pPr>
    </w:p>
    <w:p>
      <w:r>
        <w:t xml:space="preserve">Ostali nespomenuti rashodi povećani su u odnosu na prethodno razdoblje jer smo u 2025. godini imali potrebu za obnovom certifikata, odnosno službenih iskaznica pravosudnih dužnosnika i državnih službenika.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r>
        <w:t xml:space="preserve">Bankarske usluge povećane su u odnosu na prethodnu godinu, a ovise o broju obavljenih transakcija, vođenja računa i usluga korištenja servisa ePlaćanje za redovan i depozitni račun suda.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2.089.411,20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2.514.112,69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Ukupni prihodi iznose 2.514.112,69 € te su veći za 20,3% u odnosu na prethodnu godinu. U navedenom razdoblju najznačajnije povećanje prihoda vidljivo je na kontu 6615 – prihodi od pruženih usluga – usluge kopiranja u sudskim spisima i presnimavanja medija za 152,7%, te prihoda iz nadležnog proračuna za financiranje nastalih rashoda od 20,6%.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2.093.131,85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2.705.695,56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Rashodi poslovanja iznose 2.705.695,56 € te su veći za 29,3% u odnosu na prethodno razdoblje. Najznačajnije povećanje rashoda ostvareno je na kontu intelektualnih i osobnih usluga, a što ovisi o obujmu primljenih pravomoćnih rješenja za isplatu (odvjetnici, sudski vještaci, suci porotnici, sudski tumači), kao i na kontu usluga tekućeg i investicijskim radova zbog izvođenja radova u kotlovnici. Najznačajnije smanjenje rashoda poslovanja u promatranom razdoblju ostvareno je na kontu usluge i promidžbe jer zbog uvođenja centraliziranog sustava zapošljavanja imamo manje troškove objave oglasa za natječaje za zapošljavanje novih državnih službenika i namještenika. Također značajno smanjenje rashoda vidljivo je i na kontu naknada za rad predstavničkih i izvršnih tijela, povjerenstva i slično gdje obračunavamo naknade za obavljanje službenih radnji izvan zgrade suda (očevidi), a koje su smanjenje u odnosu na prijašnja razdoblja.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3.720,65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191.582,87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5149,2</w:t>
            </w:r>
          </w:p>
        </w:tc>
      </w:tr>
    </w:tbl>
    <w:p>
      <w:pPr>
        <w:spacing w:before="0" w:after="0"/>
      </w:pPr>
    </w:p>
    <w:p>
      <w:r>
        <w:t xml:space="preserve">Ukupni prihodi iznose 2.514.112,69 €, a ukupni rashodi poslovanja iznose 2.705.695,56 €. Nakon obračuna prihoda i rashoda poslovanja dobiven je ukupan manjak prihoda i u 2025. godini on iznosi 191.582,87 €. U ovom obračunskom razdoblju nisu ostvareni prihodi i rashodi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17.501,11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13.779,66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</w:tbl>
    <w:p>
      <w:pPr>
        <w:spacing w:before="0" w:after="0"/>
      </w:pPr>
    </w:p>
    <w:p>
      <w:r>
        <w:t xml:space="preserve">Preneseni višak prihoda poslovanja iznosi 13.779,66 € (92211). S obzirom da smo imali ispravke iz prethodnih razdoblja i to na kontu poštanskih usluga u iznosu od 0,80 €, smanjen je višak prihoda poslovanja za isti iznos. Također Odlukom o raspodjeli rezultata, manjak prihoda od nefinancijske imovine u iznosu od 684,16 € pokriven je iz viška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2.089.411,20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2.514.112,69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Ukupni prihodi i primici iznose 2.514.112,69 € što predstavlja povećanje od 20,3% u odnosnu na prethodno razdoblje, a posljedica su povećanja rashoda koje je potrebno podmiriti planiranim prihodima iz 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2.095.725,33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2.705.695,56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Ukupni rashodi i izdaci iznose 2.705.695,56 € što predstavlja povećanje u odnosnu na promatrano razdoblje od 29,1% te je posljedica porasta cijena određenih energenata, povećanja rashoda za intelektualne i osobne usluge, usluga tekućeg i investicijskog održavanja postrojenja i opreme te ostalih materijalnih rashoda i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- preneseni iznosi 1.475,68 €, što predstavlja razliku od 0,80 € koja je nastala zbog ispravka računa za poštanske usluge iz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193.058,55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Ukupno po svim aktivnostima poslovanja, ukupni prihodi i primici iznose 2.514.112,69 € (X678), a ukupni rashodi i izdaci iznose 2.705.695,56 € (Y345). Iz toga proizlazi manjak prihoda i primitaka u iznosu od 191.582,87 € (Y005).</w:t>
      </w:r>
    </w:p>
    <w:p>
      <w:r>
        <w:t xml:space="preserve">Nakon utvrđivanja rezultata po svim aktivnostima, prebijanja viškova i manjkova po istim kategorijama, a uzevši u obzir višak prihoda i primitaka iz prethodnog razdoblja u iznosu od 1.475,68 €, ostavren je ukupan manjak prihoda i primitaka za pokriće u slijedećem razdoblju i on iznosi 193.058,55 € (Y006).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rashodi, skupina 19, je ukinuta novim Pravilnikom o proračunskom računovodstvu i Računskom planu te se od ovog obračunskog razdoblja više ne iskazuje u poslovnim knjigama.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261.670,72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209.065,21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Stanje novčanih sredstava na dan 31.12.2025. godine:</w:t>
      </w:r>
    </w:p>
    <w:p>
      <w:pPr>
        <w:pStyle w:val="ListParagraph"/>
        <w:numPr>
          <w:ilvl w:val="0"/>
          <w:numId w:val="2"/>
        </w:numPr>
      </w:pPr>
      <w:r>
        <w:t xml:space="preserve">redovan žiroračun kod HPB d.d. - 0,08 eura </w:t>
      </w:r>
    </w:p>
    <w:p>
      <w:pPr>
        <w:pStyle w:val="ListParagraph"/>
        <w:numPr>
          <w:ilvl w:val="0"/>
          <w:numId w:val="2"/>
        </w:numPr>
      </w:pPr>
      <w:r>
        <w:t xml:space="preserve">račun sudskih depozita kod HPB d.d. - 209.065,13 eura</w:t>
      </w:r>
    </w:p>
    <w:p>
      <w:pPr>
        <w:pStyle w:val="ListParagraph"/>
        <w:numPr>
          <w:ilvl w:val="0"/>
          <w:numId w:val="2"/>
        </w:numPr>
      </w:pPr>
      <w:r>
        <w:t xml:space="preserve">novac u blagajni - 0,00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1.588.379,01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1.463.038,66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92,1</w:t>
            </w:r>
          </w:p>
        </w:tc>
      </w:tr>
    </w:tbl>
    <w:p>
      <w:pPr>
        <w:spacing w:before="0" w:after="0"/>
      </w:pPr>
    </w:p>
    <w:p>
      <w:r>
        <w:t xml:space="preserve">U bilanci sa stanjem 31. prosinca 2025. ukupna imovina iskazana je u iznosu 1.463.038,66 € a sastoji se od:</w:t>
      </w:r>
    </w:p>
    <w:p>
      <w:pPr>
        <w:pStyle w:val="ListParagraph"/>
        <w:numPr>
          <w:ilvl w:val="0"/>
          <w:numId w:val="2"/>
        </w:numPr>
      </w:pPr>
      <w:r>
        <w:t xml:space="preserve">nefinancijske imovine (B002) – 744.670,15 €</w:t>
      </w:r>
    </w:p>
    <w:p>
      <w:pPr>
        <w:pStyle w:val="ListParagraph"/>
        <w:numPr>
          <w:ilvl w:val="0"/>
          <w:numId w:val="2"/>
        </w:numPr>
      </w:pPr>
      <w:r>
        <w:t xml:space="preserve">financijske imovine (1) – 718.368,51 €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710.689,37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744.670,15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Nefinancijska imovina iznosi 744.670,15 €, a sastoji se od neproizvedene dugotrajne imovine i proizvedene dugotrajne imovine koju čine građevinski objekti, postrojenja i oprema, prijevozna sredstva i nematerijalna proizvedena imovina. Knjigovodstvena vrijednost na dan 31.12.2025. godine neproizvedene dugotrajne imovine iznosi 12.817,62 € (01), a vrijednost proizvedene dugotrajne imovine iznosi ukupno 731.852,53 € (02). </w:t>
      </w:r>
    </w:p>
    <w:p>
      <w:r>
        <w:t xml:space="preserve">Sitni inventar u upotrebi (042) i ispravak vrijednosti sitnog inventara (049) iznose 9.177,95 €.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877.689,64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718.368,51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81,8</w:t>
            </w:r>
          </w:p>
        </w:tc>
      </w:tr>
    </w:tbl>
    <w:p>
      <w:pPr>
        <w:spacing w:before="0" w:after="0"/>
      </w:pPr>
    </w:p>
    <w:p>
      <w:r>
        <w:t xml:space="preserve">Financijska imovina se sastoji od novca na žiroračunu i od potraživanja u iznosu od 718.368,51 €:</w:t>
      </w:r>
    </w:p>
    <w:p>
      <w:pPr>
        <w:pStyle w:val="ListParagraph"/>
        <w:numPr>
          <w:ilvl w:val="0"/>
          <w:numId w:val="2"/>
        </w:numPr>
      </w:pPr>
      <w:r>
        <w:t xml:space="preserve">novca u banci na redovnom žiroračunu - 0,08 € (1112) </w:t>
      </w:r>
    </w:p>
    <w:p>
      <w:pPr>
        <w:pStyle w:val="ListParagraph"/>
        <w:numPr>
          <w:ilvl w:val="0"/>
          <w:numId w:val="2"/>
        </w:numPr>
      </w:pPr>
      <w:r>
        <w:t xml:space="preserve">novca na žiroračunu sudskih depozita - 209.065,13 € (1112)</w:t>
      </w:r>
    </w:p>
    <w:p>
      <w:pPr>
        <w:pStyle w:val="ListParagraph"/>
        <w:numPr>
          <w:ilvl w:val="0"/>
          <w:numId w:val="2"/>
        </w:numPr>
      </w:pPr>
      <w:r>
        <w:t xml:space="preserve">ostala potraživanja - potraživanja od HZZO-a (bolovanje preko 42 dana) - 8.339,70 € (129)      </w:t>
      </w:r>
    </w:p>
    <w:p>
      <w:pPr>
        <w:pStyle w:val="ListParagraph"/>
        <w:numPr>
          <w:ilvl w:val="0"/>
          <w:numId w:val="2"/>
        </w:numPr>
      </w:pPr>
      <w:r>
        <w:t xml:space="preserve">potraživanja za upravne i administrativne pristojbe - 369.547,38 € (165) </w:t>
      </w:r>
    </w:p>
    <w:p>
      <w:pPr>
        <w:pStyle w:val="ListParagraph"/>
        <w:numPr>
          <w:ilvl w:val="0"/>
          <w:numId w:val="2"/>
        </w:numPr>
      </w:pPr>
      <w:r>
        <w:t xml:space="preserve">potraživanja proračunskih korisnika za sredstva uplaćena u nadležni proračun - 392,00 € (167)</w:t>
      </w:r>
    </w:p>
    <w:p>
      <w:pPr>
        <w:pStyle w:val="ListParagraph"/>
        <w:numPr>
          <w:ilvl w:val="0"/>
          <w:numId w:val="2"/>
        </w:numPr>
      </w:pPr>
      <w:r>
        <w:t xml:space="preserve">potraživanja za kazne i upravne pristojbe - 266.736,97 € (168)</w:t>
      </w:r>
    </w:p>
    <w:p>
      <w:pPr>
        <w:pStyle w:val="ListParagraph"/>
        <w:numPr>
          <w:ilvl w:val="0"/>
          <w:numId w:val="2"/>
        </w:numPr>
      </w:pPr>
      <w:r>
        <w:t xml:space="preserve">ispravka vrijednosti potraživanja kazni i upravnih pristojbi -  -135.712,75 € (169)</w:t>
      </w:r>
    </w:p>
    <w:p>
      <w:r>
        <w:t xml:space="preserve">  </w:t>
      </w:r>
    </w:p>
    <w:p>
      <w:r>
        <w:t xml:space="preserve">                                                                  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8.339,70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2384,3</w:t>
            </w:r>
          </w:p>
        </w:tc>
      </w:tr>
    </w:tbl>
    <w:p>
      <w:pPr>
        <w:spacing w:before="0" w:after="0"/>
      </w:pPr>
    </w:p>
    <w:p>
      <w:r>
        <w:t xml:space="preserve">Potraživanja od Hrvatskog zavoda za zdravstveno osiguranje za nerefundirana bolovanja iznose 8.339,70 € i njihovo dospjeće je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176.152,37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Kontinuirani rashodi budućih razdoblja u prethodnom razdoblju su iznosili 176.152,37 €, a u 2025. godini 0,00 € jer je podskupina 193 ukinuta novim Pravilnikom o proračunskom računovodstvu i Računskom planu, te su rashodi preneseni na odgovarajući konto u razredu 3.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440.008,61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410.855,46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</w:tbl>
    <w:p>
      <w:pPr>
        <w:spacing w:before="0" w:after="0"/>
      </w:pPr>
    </w:p>
    <w:p>
      <w:r>
        <w:t xml:space="preserve">Obveze ukupno iznose 410.855,46 € i to :</w:t>
      </w:r>
    </w:p>
    <w:p>
      <w:pPr>
        <w:pStyle w:val="ListParagraph"/>
        <w:numPr>
          <w:ilvl w:val="0"/>
          <w:numId w:val="2"/>
        </w:numPr>
      </w:pPr>
      <w:r>
        <w:t xml:space="preserve"> obveze za zaposlene (231) – 176.098,01 €</w:t>
      </w:r>
    </w:p>
    <w:p>
      <w:pPr>
        <w:pStyle w:val="ListParagraph"/>
        <w:numPr>
          <w:ilvl w:val="0"/>
          <w:numId w:val="2"/>
        </w:numPr>
      </w:pPr>
      <w:r>
        <w:t xml:space="preserve">obveze za materijalne rashode (232) – 20.748,72 €</w:t>
      </w:r>
    </w:p>
    <w:p>
      <w:pPr>
        <w:pStyle w:val="ListParagraph"/>
        <w:numPr>
          <w:ilvl w:val="0"/>
          <w:numId w:val="2"/>
        </w:numPr>
      </w:pPr>
      <w:r>
        <w:t xml:space="preserve">obveze za ostale financijske rashode (234) – 205,90 €</w:t>
      </w:r>
    </w:p>
    <w:p>
      <w:pPr>
        <w:pStyle w:val="ListParagraph"/>
        <w:numPr>
          <w:ilvl w:val="0"/>
          <w:numId w:val="2"/>
        </w:numPr>
      </w:pPr>
      <w:r>
        <w:t xml:space="preserve">obveze za predujmove, depozite, jamčevne pologe i tuđe prihode 213.802,83 €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Ostale tekuće obveze u obračunskom razdoblju za 2024. godinu iznose 262.020,50 €, te su prenesene na odgovarajuće račune skupine 27 sa 01.01.2025. godine prema važećem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262.020,50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213.802,83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81,6</w:t>
            </w:r>
          </w:p>
        </w:tc>
      </w:tr>
    </w:tbl>
    <w:p>
      <w:pPr>
        <w:spacing w:before="0" w:after="0"/>
      </w:pPr>
    </w:p>
    <w:p>
      <w:r>
        <w:t xml:space="preserve">Skupina 27 obuhvaća obveze za predujmove u iznosu od 209.065,13 €, obveze proračunskih korisnika za povrat u proračun (kamata) 0,08 € i obveze proračunskih korisnika za povrat u proračun – naknada za bolovanje na teret HZZO-a 4.737,62 €.</w:t>
      </w:r>
    </w:p>
    <w:p>
      <w:r>
        <w:t xml:space="preserve">Ostale tekuće obveze u obračunskom razdoblju za 2024. godinu iznose 262.020,50 €, te su prenesene na odgovarajuće račune skupine 27 sa 01.01.2025. godine prema važećem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1.148.370,40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1.052.183,20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91,6</w:t>
            </w:r>
          </w:p>
        </w:tc>
      </w:tr>
    </w:tbl>
    <w:p>
      <w:pPr>
        <w:spacing w:before="0" w:after="0"/>
      </w:pPr>
    </w:p>
    <w:p>
      <w:r>
        <w:t xml:space="preserve">Vlastiti izvori ukupno iznose 1.052.183,20 €, a odnose se na vlastite izvore vlasništva iz proračuna u iznosu od 744.670,15 € (9111) umanjeno za manjak prihoda 193.058,55 € (922) i uvećano za obračunate prihode za sudske pristojbe i novčane kazne 500.571,60 € (96). Vlastiti izvori iz proračuna (9111) u cijelosti se odnose na knjigovodstvenu vrijednost nefinancijske imovine (B002).</w:t>
      </w:r>
    </w:p>
    <w:p>
      <w:r>
        <w:t xml:space="preserve">Općinski sud u Požegi u 2025. godini nije imao nove ugovorne odnose koji mogu postati imovina ili obveza, a koji se odnose na založna prava na nekretninama ili pokretninama, dana jamstva, dobivena jamstva i slično. </w:t>
      </w:r>
    </w:p>
    <w:p>
      <w:r>
        <w:t xml:space="preserve">Također, kao obvezna bilješka su i Popis sudskih sporova u tijeku. Općinski sud u Požegi nije imao nikakvih sporova, a koji bi mogli proizvesti financijske učinke (Službena bilješka iz Ureda predsjedništva 17 Su-52/2026-2 od 22. siječnja 2026. godine).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Javni red i sigurnost (šifre 031 do 036)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2.093.131,85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2.705.695,56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129,3</w:t>
            </w:r>
          </w:p>
        </w:tc>
      </w:tr>
    </w:tbl>
    <w:p>
      <w:pPr>
        <w:spacing w:before="0" w:after="0"/>
      </w:pPr>
    </w:p>
    <w:p>
      <w:r>
        <w:t xml:space="preserve">Općinski sud u Požegi iskazuje rashode na šifri 033, predviđenoj za sudove, u iznosu od 2.705.695,56 €. Ovako iskazani rashodi u obrascu RAS-funkcijski odgovaraju ukupno iskazanim rashodima razreda 3 – Rashodi poslovanja u obrascu PR-RAS.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22.982,16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40,3</w:t>
            </w:r>
          </w:p>
        </w:tc>
      </w:tr>
    </w:tbl>
    <w:p>
      <w:pPr>
        <w:spacing w:before="0" w:after="0"/>
      </w:pPr>
    </w:p>
    <w:p>
      <w:r>
        <w:t xml:space="preserve">Ispravak vrijednosti, prema novom Pravilniku o proračunskom računovodstvu i Računskom planu, knjižen je preko podskupine 915, te je iskazano smanjenje imovine u vrijednosti od 22.982,16 €.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Općinski sud u Požegi u 2025. godini bilježi promjene u obujmu imovine gdje je iskazano povećanje proizvedene dugotrajne imovine u iznosu od 56.962,94 € i to prema: </w:t>
      </w:r>
    </w:p>
    <w:p>
      <w:pPr>
        <w:pStyle w:val="ListParagraph"/>
        <w:numPr>
          <w:ilvl w:val="0"/>
          <w:numId w:val="2"/>
        </w:numPr>
      </w:pPr>
      <w:r>
        <w:t xml:space="preserve">Odluci o prijenosu bez naknade vrijednost za 10 kom pisača HP Laser Jet Pro 4002dn, KLASA: 650-01/25-01/05, URBROJ: 514-02-04-01/04-25-16, od 18. travnja 2025. godine, sadašnje vrijednosti od 2.875,00 €;</w:t>
      </w:r>
    </w:p>
    <w:p>
      <w:pPr>
        <w:pStyle w:val="ListParagraph"/>
        <w:numPr>
          <w:ilvl w:val="0"/>
          <w:numId w:val="2"/>
        </w:numPr>
      </w:pPr>
      <w:r>
        <w:t xml:space="preserve">Odluci o prijenosu bez naknade vrijednost za uredsku opremu – komplet za skeniranje Avision AD5800 A3 s računalom HP ProOne 440 G9 AiO, KLASA: 911-01/25-05/01, URBROJ: 514-13-03-02/04-25-69, od 01. prosinca 2025. godine, u ukupnom iznosu od 4.289,10 €;</w:t>
      </w:r>
    </w:p>
    <w:p>
      <w:pPr>
        <w:pStyle w:val="ListParagraph"/>
        <w:numPr>
          <w:ilvl w:val="0"/>
          <w:numId w:val="2"/>
        </w:numPr>
      </w:pPr>
      <w:r>
        <w:t xml:space="preserve">Odluci o prijenosu bez naknade za 43 kom računala Dell Pro 24 All-In-One, KLASA: 650-01/25-01/05, URBROJ: 514-02-04-01/04-25-144, od 09. prosinca 2025., u ukupnom iznosu od 49.798,84 €;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2.718.040,00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obveza u izvještajnom razdoblju iznosi 2.718.040,00 €, a odnosi se na slijedeće:</w:t>
      </w:r>
    </w:p>
    <w:p>
      <w:pPr>
        <w:pStyle w:val="ListParagraph"/>
        <w:numPr>
          <w:ilvl w:val="0"/>
          <w:numId w:val="2"/>
        </w:numPr>
      </w:pPr>
      <w:r>
        <w:t xml:space="preserve">Međusobne obveze proračunskih korisnika (V003) – 20.787,28 € (bolovanje na teret HZZO-a 18.690,94 €, povrat poreza po godišnjem obračunu poreza 38,60 €, pasivna kamata 0,52 € i povrat sredstava u državni proračun 608,29 € i režijski troškovi obračunati temeljem Sporazuma sa Probacijskim uredom Požega 1.448,93)</w:t>
      </w:r>
    </w:p>
    <w:p>
      <w:pPr>
        <w:pStyle w:val="ListParagraph"/>
        <w:numPr>
          <w:ilvl w:val="0"/>
          <w:numId w:val="2"/>
        </w:numPr>
      </w:pPr>
      <w:r>
        <w:t xml:space="preserve">Obveze za rashode poslovanja (N23) – 2.550.426,68 € (obveze za zaposlene 2.033.350,99 € (N231), obveze za materijalne rashode 514.946,42 € (N232), obveze za financijske rashode 2.129,27 € (N234) i </w:t>
      </w:r>
    </w:p>
    <w:p>
      <w:pPr>
        <w:pStyle w:val="ListParagraph"/>
        <w:numPr>
          <w:ilvl w:val="0"/>
          <w:numId w:val="2"/>
        </w:numPr>
      </w:pPr>
      <w:r>
        <w:t xml:space="preserve">Obveze za predujmove, depozite, jamčevne pologe i tuđe prihode (N27)</w:t>
      </w:r>
      <w:r>
        <w:rPr>
          <w:i/>
        </w:rPr>
        <w:t xml:space="preserve"> </w:t>
      </w:r>
      <w:r>
        <w:t xml:space="preserve">146.826,04 €)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2.747.193,15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Podmirene obveze u izvještajnom razdoblju iznose 2.747.193,15 €, a odnose se na slijedeće:</w:t>
      </w:r>
    </w:p>
    <w:p>
      <w:pPr>
        <w:pStyle w:val="ListParagraph"/>
        <w:numPr>
          <w:ilvl w:val="0"/>
          <w:numId w:val="2"/>
        </w:numPr>
      </w:pPr>
      <w:r>
        <w:t xml:space="preserve">Međusobne obveze proračunskih korisnika (V005)  – 16.399,47 € (uplata sredstava u državni proračun 608,29 €, pasivna kamata 0,55 €,  povrat poreza i prireza po godišnjem obračunu 38,60 €, bolovanje na teret HZZO-a 14.303,10 € i režijski troškovi obračunati temeljem Sporazuma sa Probacijskim uredom Požega 1.448,93 €)</w:t>
      </w:r>
    </w:p>
    <w:p>
      <w:pPr>
        <w:pStyle w:val="ListParagraph"/>
        <w:numPr>
          <w:ilvl w:val="0"/>
          <w:numId w:val="2"/>
        </w:numPr>
      </w:pPr>
      <w:r>
        <w:t xml:space="preserve">Obveze za rashode poslovanja (P23) – 2.531.362,16 € (obveze za zaposlene (P231) 2.013.570,13 €, obveze za materijalne rashode (P232)  515.710,76 €, obveze za financijske rashode (P234) 2.081,27 € </w:t>
      </w:r>
    </w:p>
    <w:p>
      <w:pPr>
        <w:pStyle w:val="ListParagraph"/>
        <w:numPr>
          <w:ilvl w:val="0"/>
          <w:numId w:val="2"/>
        </w:numPr>
      </w:pPr>
      <w:r>
        <w:t xml:space="preserve">Obveze za predujmove, depozite, jamčevne pologe i tuđe prihode (N27) - 199.431,52 €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410.855,46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410.855,46 €, a odnosi se na:  </w:t>
      </w:r>
    </w:p>
    <w:p>
      <w:pPr>
        <w:pStyle w:val="ListParagraph"/>
        <w:numPr>
          <w:ilvl w:val="0"/>
          <w:numId w:val="2"/>
        </w:numPr>
      </w:pPr>
      <w:r>
        <w:t xml:space="preserve">stanje dospjelih obveza na kraju izvještajnog razdoblja (V007) – 206,84 eura. </w:t>
      </w:r>
    </w:p>
    <w:p>
      <w:pPr>
        <w:pStyle w:val="ListParagraph"/>
        <w:numPr>
          <w:ilvl w:val="0"/>
          <w:numId w:val="2"/>
        </w:numPr>
      </w:pPr>
      <w:r>
        <w:t xml:space="preserve">stanje nedospjelih obveza na kraju izvještajnog razdoblja (V009) – 410.648,62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ovom obračunskom razdoblju iznose 206,84 €, a odnose se na nepodmirene obveze za materijalne rashode (usluge sudaca porotnika i naknade troškova osobama izvan radnog odnosa - svjedoci).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410.648,62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iznosi 410.648,62 €, odnosi se na: </w:t>
      </w:r>
    </w:p>
    <w:p>
      <w:pPr>
        <w:pStyle w:val="ListParagraph"/>
        <w:numPr>
          <w:ilvl w:val="0"/>
          <w:numId w:val="2"/>
        </w:numPr>
      </w:pPr>
      <w:r>
        <w:t xml:space="preserve">međusobne obveze proračunskih korisnika (V010) u iznosu od 4.737,70 € -  bolovanje na teret HZZO-a u iznosu od 4.737,62 € i naplaćene pasivne kamate u iznosu od 0,08 €, </w:t>
      </w:r>
    </w:p>
    <w:p>
      <w:pPr>
        <w:pStyle w:val="ListParagraph"/>
        <w:numPr>
          <w:ilvl w:val="0"/>
          <w:numId w:val="2"/>
        </w:numPr>
      </w:pPr>
      <w:r>
        <w:t xml:space="preserve">obveze za rashode poslovanja u iznosu od 196.845,79 € (ND23)  - obveze za zaposlene 176.098,01 € (plaća, naknada za prijevoz na posao i s posla, ostali rashodi za zaposlene za mjesec prosinac 2025. godine), obveze za materijalne rashode 20.541,88 €, obveze za ostale financijske rashode 205,90 €,</w:t>
      </w:r>
    </w:p>
    <w:p>
      <w:pPr>
        <w:pStyle w:val="ListParagraph"/>
        <w:numPr>
          <w:ilvl w:val="0"/>
          <w:numId w:val="2"/>
        </w:numPr>
      </w:pPr>
      <w:r>
        <w:t xml:space="preserve">obveze za predujmove, depozite, jamčevne pologe i tuđe prihode (ND27) 209.065,13 €.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7c1d093ac4c18" /><Relationship Type="http://schemas.openxmlformats.org/officeDocument/2006/relationships/numbering" Target="/word/numbering.xml" Id="R346881d7fa9a43e9" /></Relationships>
</file>