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170516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170516" w:rsidRDefault="00093341">
            <w:pPr>
              <w:spacing w:after="0" w:line="240" w:lineRule="auto"/>
            </w:pPr>
            <w:bookmarkStart w:id="0" w:name="_GoBack"/>
            <w:bookmarkEnd w:id="0"/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170516" w:rsidRDefault="00093341">
            <w:pPr>
              <w:spacing w:after="0" w:line="240" w:lineRule="auto"/>
            </w:pPr>
            <w:r>
              <w:t>50571</w:t>
            </w:r>
          </w:p>
        </w:tc>
      </w:tr>
      <w:tr w:rsidR="00170516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170516" w:rsidRDefault="00093341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170516" w:rsidRDefault="00093341">
            <w:pPr>
              <w:spacing w:after="0" w:line="240" w:lineRule="auto"/>
            </w:pPr>
            <w:r>
              <w:t>OPĆINSKI SUD U SESVETAMA</w:t>
            </w:r>
          </w:p>
        </w:tc>
      </w:tr>
      <w:tr w:rsidR="00170516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170516" w:rsidRDefault="00093341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170516" w:rsidRDefault="00093341">
            <w:pPr>
              <w:spacing w:after="0" w:line="240" w:lineRule="auto"/>
            </w:pPr>
            <w:r>
              <w:t>11</w:t>
            </w:r>
          </w:p>
        </w:tc>
      </w:tr>
    </w:tbl>
    <w:p w:rsidR="00170516" w:rsidRDefault="00093341">
      <w:r>
        <w:br/>
      </w:r>
    </w:p>
    <w:p w:rsidR="00170516" w:rsidRDefault="00093341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170516" w:rsidRDefault="00093341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170516" w:rsidRDefault="00093341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170516" w:rsidRDefault="00170516"/>
    <w:p w:rsidR="00170516" w:rsidRDefault="00093341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170516" w:rsidRDefault="00093341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705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0516" w:rsidRDefault="000933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0516" w:rsidRDefault="000933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0516" w:rsidRDefault="000933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0516" w:rsidRDefault="000933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0516" w:rsidRDefault="000933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0516" w:rsidRDefault="000933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051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0516" w:rsidRDefault="0009334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70516" w:rsidRDefault="0009334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0516" w:rsidRDefault="0009334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0516" w:rsidRDefault="0009334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4.683.585,49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0516" w:rsidRDefault="0009334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5.077.703,59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0516" w:rsidRDefault="0009334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108,4</w:t>
            </w:r>
          </w:p>
        </w:tc>
      </w:tr>
      <w:tr w:rsidR="0017051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0516" w:rsidRDefault="0009334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70516" w:rsidRDefault="0009334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0516" w:rsidRDefault="0009334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0516" w:rsidRDefault="0009334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4.620.583,62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0516" w:rsidRDefault="0009334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5.471.387,38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0516" w:rsidRDefault="0009334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118,4</w:t>
            </w:r>
          </w:p>
        </w:tc>
      </w:tr>
      <w:tr w:rsidR="0017051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0516" w:rsidRDefault="0017051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70516" w:rsidRDefault="0009334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0516" w:rsidRDefault="0009334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0516" w:rsidRDefault="0009334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0516" w:rsidRDefault="0009334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393.683,79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0516" w:rsidRDefault="0009334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17051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0516" w:rsidRDefault="0009334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70516" w:rsidRDefault="0009334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0516" w:rsidRDefault="0009334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0516" w:rsidRDefault="0009334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0516" w:rsidRDefault="0009334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322,18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0516" w:rsidRDefault="0009334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17051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0516" w:rsidRDefault="0009334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70516" w:rsidRDefault="0009334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0516" w:rsidRDefault="0009334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0516" w:rsidRDefault="0009334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35.131,30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0516" w:rsidRDefault="0009334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26.296,68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0516" w:rsidRDefault="0009334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74,9</w:t>
            </w:r>
          </w:p>
        </w:tc>
      </w:tr>
      <w:tr w:rsidR="0017051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0516" w:rsidRDefault="0017051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70516" w:rsidRDefault="0009334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0516" w:rsidRDefault="0009334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0516" w:rsidRDefault="0009334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35.131,30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0516" w:rsidRDefault="0009334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25.974,50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0516" w:rsidRDefault="0009334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73,9</w:t>
            </w:r>
          </w:p>
        </w:tc>
      </w:tr>
      <w:tr w:rsidR="0017051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0516" w:rsidRDefault="0009334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70516" w:rsidRDefault="0009334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0516" w:rsidRDefault="0009334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0516" w:rsidRDefault="0009334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0516" w:rsidRDefault="0009334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25.538,40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0516" w:rsidRDefault="0009334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17051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0516" w:rsidRDefault="0009334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70516" w:rsidRDefault="0009334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0516" w:rsidRDefault="0009334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0516" w:rsidRDefault="0009334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6.548,87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0516" w:rsidRDefault="0009334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6.826,88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0516" w:rsidRDefault="0009334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104,2</w:t>
            </w:r>
          </w:p>
        </w:tc>
      </w:tr>
      <w:tr w:rsidR="0017051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0516" w:rsidRDefault="0017051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70516" w:rsidRDefault="0009334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PRIMITAKA OD FINANCIJSKE IMOVINE I ZADUŽIVANJA (šifre 8-5)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0516" w:rsidRDefault="0009334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0516" w:rsidRDefault="0009334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0516" w:rsidRDefault="0009334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18.711,52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0516" w:rsidRDefault="0009334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17051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0516" w:rsidRDefault="0017051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70516" w:rsidRDefault="0009334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0516" w:rsidRDefault="0009334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0516" w:rsidRDefault="0009334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0516" w:rsidRDefault="0009334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400.946,77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0516" w:rsidRDefault="0009334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:rsidR="00170516" w:rsidRDefault="00170516">
      <w:pPr>
        <w:spacing w:after="0"/>
      </w:pPr>
    </w:p>
    <w:p w:rsidR="00170516" w:rsidRDefault="00093341">
      <w:r>
        <w:t>Iskazani manjak prihoda poslovanja u razdoblju 01.01.-31.12.2025. nastao je zbog primjene novog Pravilnika o proračunskom računovodstvu i računskom planu i načinu iskazivanja kontinuiranih rashoda poslovanja budućeg razdoblja. Naime, temeljem navedenog Pra</w:t>
      </w:r>
      <w:r>
        <w:t xml:space="preserve">vilnika u ovom obračunskom razdoblju iskazani su trinaesti rashodi za plaće, prijevoz i ostale materijalne rashode. Manjak prihoda od nefinancijske imovine odnosi se na nabavu novog </w:t>
      </w:r>
      <w:r>
        <w:lastRenderedPageBreak/>
        <w:t xml:space="preserve">službenog automobila putem financijskog </w:t>
      </w:r>
      <w:proofErr w:type="spellStart"/>
      <w:r>
        <w:t>leasinga</w:t>
      </w:r>
      <w:proofErr w:type="spellEnd"/>
      <w:r>
        <w:t>. Višak primitaka od finan</w:t>
      </w:r>
      <w:r>
        <w:t xml:space="preserve">cijske imovine i zaduživanja također proizlazi iz odobrenog nam kredita, zajma za nabavu novog službenog vozila putem </w:t>
      </w:r>
      <w:proofErr w:type="spellStart"/>
      <w:r>
        <w:t>leasinga</w:t>
      </w:r>
      <w:proofErr w:type="spellEnd"/>
      <w:r>
        <w:t>.</w:t>
      </w:r>
    </w:p>
    <w:p w:rsidR="00170516" w:rsidRDefault="00093341">
      <w:r>
        <w:br/>
      </w:r>
    </w:p>
    <w:p w:rsidR="00170516" w:rsidRDefault="00093341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705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0516" w:rsidRDefault="000933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0516" w:rsidRDefault="000933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0516" w:rsidRDefault="000933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0516" w:rsidRDefault="000933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0516" w:rsidRDefault="000933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</w:t>
            </w:r>
            <w:r>
              <w:rPr>
                <w:b/>
                <w:sz w:val="18"/>
              </w:rPr>
              <w:t xml:space="preserve">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0516" w:rsidRDefault="000933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051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0516" w:rsidRDefault="0009334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70516" w:rsidRDefault="0009334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0516" w:rsidRDefault="0009334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0516" w:rsidRDefault="0009334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3.972.717,21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0516" w:rsidRDefault="0009334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4.680.909,55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0516" w:rsidRDefault="0009334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117,8</w:t>
            </w:r>
          </w:p>
        </w:tc>
      </w:tr>
    </w:tbl>
    <w:p w:rsidR="00170516" w:rsidRDefault="00170516">
      <w:pPr>
        <w:spacing w:after="0"/>
      </w:pPr>
    </w:p>
    <w:p w:rsidR="00170516" w:rsidRDefault="00093341">
      <w:r>
        <w:t xml:space="preserve">Rashodi za zaposlene povećani su u odnosu na prethodnu godinu jer je temeljem važećeg Kolektivnog ugovora i Dodatka IV. Kolektivnom ugovoru za državne službenike i namještenike osnovica za </w:t>
      </w:r>
      <w:proofErr w:type="spellStart"/>
      <w:r>
        <w:t>obračn</w:t>
      </w:r>
      <w:proofErr w:type="spellEnd"/>
      <w:r>
        <w:t xml:space="preserve"> plaće tijekom 2025. godine povećavala nekoliko puta.</w:t>
      </w:r>
    </w:p>
    <w:p w:rsidR="00170516" w:rsidRDefault="00170516"/>
    <w:p w:rsidR="00170516" w:rsidRDefault="00093341">
      <w:pPr>
        <w:keepNext/>
        <w:spacing w:line="240" w:lineRule="auto"/>
        <w:jc w:val="center"/>
      </w:pPr>
      <w:r>
        <w:rPr>
          <w:sz w:val="28"/>
        </w:rPr>
        <w:t>Bilješ</w:t>
      </w:r>
      <w:r>
        <w:rPr>
          <w:sz w:val="28"/>
        </w:rPr>
        <w:t>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705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0516" w:rsidRDefault="000933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0516" w:rsidRDefault="000933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0516" w:rsidRDefault="000933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0516" w:rsidRDefault="000933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0516" w:rsidRDefault="000933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0516" w:rsidRDefault="000933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051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0516" w:rsidRDefault="0009334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70516" w:rsidRDefault="0009334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materijal i energiju (šifre 3221 do 3227)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0516" w:rsidRDefault="0009334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0516" w:rsidRDefault="0009334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121.979,88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0516" w:rsidRDefault="0009334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153.222,73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0516" w:rsidRDefault="0009334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125,6</w:t>
            </w:r>
          </w:p>
        </w:tc>
      </w:tr>
    </w:tbl>
    <w:p w:rsidR="00170516" w:rsidRDefault="00170516">
      <w:pPr>
        <w:spacing w:after="0"/>
      </w:pPr>
    </w:p>
    <w:p w:rsidR="00170516" w:rsidRDefault="00093341">
      <w:r>
        <w:t xml:space="preserve">Rashodi za materijal i energiju </w:t>
      </w:r>
      <w:proofErr w:type="spellStart"/>
      <w:r>
        <w:t>povećeni</w:t>
      </w:r>
      <w:proofErr w:type="spellEnd"/>
      <w:r>
        <w:t xml:space="preserve"> su u odnosu na prethodnu godinu zbog promjena tržišnih uvjeta, inflacije, rasta cijena uredskog materijala i pribora i većih cijena energenata.</w:t>
      </w:r>
    </w:p>
    <w:p w:rsidR="00170516" w:rsidRDefault="00170516"/>
    <w:p w:rsidR="00170516" w:rsidRDefault="00093341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705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0516" w:rsidRDefault="000933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0516" w:rsidRDefault="000933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0516" w:rsidRDefault="000933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0516" w:rsidRDefault="000933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</w:t>
            </w:r>
            <w:r>
              <w:rPr>
                <w:b/>
                <w:sz w:val="18"/>
              </w:rPr>
              <w:t>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0516" w:rsidRDefault="000933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0516" w:rsidRDefault="000933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051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0516" w:rsidRDefault="0009334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70516" w:rsidRDefault="0009334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usluge (šifre 3231 do 3239)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0516" w:rsidRDefault="0009334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0516" w:rsidRDefault="0009334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373.384,58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0516" w:rsidRDefault="0009334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467.248,58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0516" w:rsidRDefault="0009334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125,1</w:t>
            </w:r>
          </w:p>
        </w:tc>
      </w:tr>
    </w:tbl>
    <w:p w:rsidR="00170516" w:rsidRDefault="00170516">
      <w:pPr>
        <w:spacing w:after="0"/>
      </w:pPr>
    </w:p>
    <w:p w:rsidR="00170516" w:rsidRDefault="00093341">
      <w:r>
        <w:t>U odnosu na prethodnu godinu porasli su i rashodi za usluge i to najvećim dijelom troškovi poštarine, usluge tekućeg i investicijskog održavanja, te intelektualne i osobne usluge. Usluge tekućeg i investicijskog održavanja odnose se na troškove sanacije di</w:t>
      </w:r>
      <w:r>
        <w:t>mnjaka na SS Sv. I. Zelina, adaptaciju ulaza na SS Sv. I. Zelina, popravak vanjske jedinice klima uređaja na SS Sv. I. Zelina, sanaciju toaletnog prostora SS Vrbovec, servis plamenika i uljnog kotla, te većih troškova servisa automobila dok su intelektualn</w:t>
      </w:r>
      <w:r>
        <w:t>e i osobne usluge porasle zbog većeg broja pravomoćnih rješenja prekršajnog postupka te usluga odvjetnika i sudskih vještaka u istima. </w:t>
      </w:r>
    </w:p>
    <w:p w:rsidR="00170516" w:rsidRDefault="00170516"/>
    <w:p w:rsidR="00170516" w:rsidRDefault="00093341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705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0516" w:rsidRDefault="000933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0516" w:rsidRDefault="000933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0516" w:rsidRDefault="000933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0516" w:rsidRDefault="000933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0516" w:rsidRDefault="000933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</w:t>
            </w:r>
            <w:r>
              <w:rPr>
                <w:b/>
                <w:sz w:val="18"/>
              </w:rPr>
              <w:t>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0516" w:rsidRDefault="000933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051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0516" w:rsidRDefault="0009334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70516" w:rsidRDefault="0009334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rashodi poslovanja (šifre 3291 do 3299)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0516" w:rsidRDefault="0009334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0516" w:rsidRDefault="0009334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60.819,15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0516" w:rsidRDefault="0009334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70.918,43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0516" w:rsidRDefault="0009334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116,6</w:t>
            </w:r>
          </w:p>
        </w:tc>
      </w:tr>
    </w:tbl>
    <w:p w:rsidR="00170516" w:rsidRDefault="00170516">
      <w:pPr>
        <w:spacing w:after="0"/>
      </w:pPr>
    </w:p>
    <w:p w:rsidR="00170516" w:rsidRDefault="00093341">
      <w:r>
        <w:t xml:space="preserve">Ostali nespomenuti rashodi poslovanja veći su u odnosu na prethodnu godinu zbog rasta naknada za rad predstavničkih i izvršnih tijela, povjerenstava i slično, rasta premija osiguranja ali i rasta </w:t>
      </w:r>
      <w:proofErr w:type="spellStart"/>
      <w:r>
        <w:t>ostalin</w:t>
      </w:r>
      <w:proofErr w:type="spellEnd"/>
      <w:r>
        <w:t xml:space="preserve"> nespomenutih rashoda poslovanja. Rast naknada za rad</w:t>
      </w:r>
      <w:r>
        <w:t xml:space="preserve"> predstavničkih i izvršnih tijela, povjerenstava i slično proizlazi jer se je tijekom tekuće godine osim očevida isplaćivala i naknada za poslove obnove zemljišnih knjiga prema Sporazumu o sufinanciranju. Rast premija osiguranja odnosi se na plaćeno obvezn</w:t>
      </w:r>
      <w:r>
        <w:t xml:space="preserve">o i </w:t>
      </w:r>
      <w:proofErr w:type="spellStart"/>
      <w:r>
        <w:t>kasko</w:t>
      </w:r>
      <w:proofErr w:type="spellEnd"/>
      <w:r>
        <w:t xml:space="preserve"> osiguranje za novo nabavljeno vozilo putem financijskog </w:t>
      </w:r>
      <w:proofErr w:type="spellStart"/>
      <w:r>
        <w:t>leasinga</w:t>
      </w:r>
      <w:proofErr w:type="spellEnd"/>
      <w:r>
        <w:t>, dok su ostali nespomenuti rashodi poslovanja porasli zbog većeg broja isteka službenih iskaznica i usluge izrade novih.</w:t>
      </w:r>
    </w:p>
    <w:p w:rsidR="00170516" w:rsidRDefault="00170516"/>
    <w:p w:rsidR="00170516" w:rsidRDefault="00093341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:rsidR="00170516" w:rsidRDefault="00093341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705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0516" w:rsidRDefault="000933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0516" w:rsidRDefault="000933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0516" w:rsidRDefault="000933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0516" w:rsidRDefault="000933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0516" w:rsidRDefault="000933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0516" w:rsidRDefault="000933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051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0516" w:rsidRDefault="0009334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023 i 02923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70516" w:rsidRDefault="0009334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Prijevozna sredstva (šifre 0231 do 0234 - 02923)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0516" w:rsidRDefault="0009334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023 i 02923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0516" w:rsidRDefault="0009334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18.528,93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0516" w:rsidRDefault="0009334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37.235,50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0516" w:rsidRDefault="0009334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201,0</w:t>
            </w:r>
          </w:p>
        </w:tc>
      </w:tr>
    </w:tbl>
    <w:p w:rsidR="00170516" w:rsidRDefault="00170516">
      <w:pPr>
        <w:spacing w:after="0"/>
      </w:pPr>
    </w:p>
    <w:p w:rsidR="00170516" w:rsidRDefault="00093341">
      <w:r>
        <w:t xml:space="preserve">Prijevozna sredstva u cestovnom prometu povećana su zbog nabave novog službenog automobila na financijski </w:t>
      </w:r>
      <w:proofErr w:type="spellStart"/>
      <w:r>
        <w:t>leasing</w:t>
      </w:r>
      <w:proofErr w:type="spellEnd"/>
      <w:r>
        <w:t>. </w:t>
      </w:r>
    </w:p>
    <w:p w:rsidR="00170516" w:rsidRDefault="00170516"/>
    <w:p w:rsidR="00170516" w:rsidRDefault="00093341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705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0516" w:rsidRDefault="000933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0516" w:rsidRDefault="000933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0516" w:rsidRDefault="000933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0516" w:rsidRDefault="000933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0516" w:rsidRDefault="000933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0516" w:rsidRDefault="000933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051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0516" w:rsidRDefault="0009334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26433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70516" w:rsidRDefault="0009334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Obveze za financijski najam od </w:t>
            </w:r>
            <w:r>
              <w:rPr>
                <w:sz w:val="18"/>
              </w:rPr>
              <w:t>tuzemnih kreditnih institucija izvan javnog sektora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0516" w:rsidRDefault="0009334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26433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0516" w:rsidRDefault="0009334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19.563,37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0516" w:rsidRDefault="0009334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38.274,89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0516" w:rsidRDefault="0009334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195,6</w:t>
            </w:r>
          </w:p>
        </w:tc>
      </w:tr>
    </w:tbl>
    <w:p w:rsidR="00170516" w:rsidRDefault="00170516">
      <w:pPr>
        <w:spacing w:after="0"/>
      </w:pPr>
    </w:p>
    <w:p w:rsidR="00170516" w:rsidRDefault="00093341">
      <w:r>
        <w:t xml:space="preserve">Obveze za financijski najam od </w:t>
      </w:r>
      <w:proofErr w:type="spellStart"/>
      <w:r>
        <w:t>tuzemih</w:t>
      </w:r>
      <w:proofErr w:type="spellEnd"/>
      <w:r>
        <w:t xml:space="preserve"> kreditnih institucija izvan javnog sektora porasle su jer smo tijekom 2025. godine sklopili novi Ugovor o financijskom </w:t>
      </w:r>
      <w:proofErr w:type="spellStart"/>
      <w:r>
        <w:t>leasingu</w:t>
      </w:r>
      <w:proofErr w:type="spellEnd"/>
      <w:r>
        <w:t xml:space="preserve"> za nabavu novog </w:t>
      </w:r>
      <w:proofErr w:type="spellStart"/>
      <w:r>
        <w:t>slubženog</w:t>
      </w:r>
      <w:proofErr w:type="spellEnd"/>
      <w:r>
        <w:t xml:space="preserve"> automobila.</w:t>
      </w:r>
    </w:p>
    <w:p w:rsidR="00170516" w:rsidRDefault="00170516"/>
    <w:p w:rsidR="00170516" w:rsidRDefault="00093341">
      <w:pPr>
        <w:keepNext/>
        <w:spacing w:line="240" w:lineRule="auto"/>
        <w:jc w:val="center"/>
      </w:pPr>
      <w:r>
        <w:rPr>
          <w:b/>
          <w:sz w:val="28"/>
        </w:rPr>
        <w:lastRenderedPageBreak/>
        <w:t>Promjene u vrijednosti i obujmu imovine i obveza</w:t>
      </w:r>
    </w:p>
    <w:p w:rsidR="00170516" w:rsidRDefault="00093341">
      <w:pPr>
        <w:keepNext/>
        <w:spacing w:line="240" w:lineRule="auto"/>
        <w:jc w:val="center"/>
      </w:pPr>
      <w:r>
        <w:rPr>
          <w:sz w:val="28"/>
        </w:rPr>
        <w:t>B</w:t>
      </w:r>
      <w:r>
        <w:rPr>
          <w:sz w:val="28"/>
        </w:rPr>
        <w:t>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705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0516" w:rsidRDefault="000933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0516" w:rsidRDefault="000933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0516" w:rsidRDefault="000933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0516" w:rsidRDefault="000933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0516" w:rsidRDefault="000933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0516" w:rsidRDefault="000933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051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0516" w:rsidRDefault="0017051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70516" w:rsidRDefault="0009334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Proizvedena dugotrajna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0516" w:rsidRDefault="0009334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0516" w:rsidRDefault="0009334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16.296,34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0516" w:rsidRDefault="0009334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0516" w:rsidRDefault="0009334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170516" w:rsidRDefault="00170516">
      <w:pPr>
        <w:spacing w:after="0"/>
      </w:pPr>
    </w:p>
    <w:p w:rsidR="00170516" w:rsidRDefault="00093341">
      <w:r>
        <w:t>Povećanje proizvedene dugotrajne imovine tijekom 2025. godine odnosi se na Odluke o prijenosu iste unutar proračuna za nabavu informatičke opreme, servera, računala i računalne opreme.</w:t>
      </w:r>
    </w:p>
    <w:p w:rsidR="00170516" w:rsidRDefault="00170516"/>
    <w:p w:rsidR="00170516" w:rsidRDefault="00093341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170516" w:rsidRDefault="00093341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1705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0516" w:rsidRDefault="000933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0516" w:rsidRDefault="000933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0516" w:rsidRDefault="000933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0516" w:rsidRDefault="000933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70516" w:rsidRDefault="000933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7051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0516" w:rsidRDefault="0017051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70516" w:rsidRDefault="0009334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0516" w:rsidRDefault="0009334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70516" w:rsidRDefault="0009334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70516" w:rsidRDefault="0009334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170516" w:rsidRDefault="00170516">
      <w:pPr>
        <w:spacing w:after="0"/>
      </w:pPr>
    </w:p>
    <w:p w:rsidR="00170516" w:rsidRDefault="00093341">
      <w:r>
        <w:t>Općinski sud u Sesvetama na kraju izvještajnog razdoblja nema dospjelih obveza.</w:t>
      </w:r>
    </w:p>
    <w:p w:rsidR="00170516" w:rsidRDefault="00170516"/>
    <w:sectPr w:rsidR="001705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516"/>
    <w:rsid w:val="00093341"/>
    <w:rsid w:val="00170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904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MPRH</Company>
  <LinksUpToDate>false</LinksUpToDate>
  <CharactersWithSpaces>6045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Živko</dc:creator>
  <cp:lastModifiedBy>Sanja Živko</cp:lastModifiedBy>
  <cp:revision>2</cp:revision>
  <dcterms:created xsi:type="dcterms:W3CDTF">2026-01-30T14:39:00Z</dcterms:created>
  <dcterms:modified xsi:type="dcterms:W3CDTF">2026-01-30T14:39:00Z</dcterms:modified>
</cp:coreProperties>
</file>