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31C6E">
        <w:tblPrEx>
          <w:tblCellMar>
            <w:top w:w="0" w:type="dxa"/>
            <w:bottom w:w="0" w:type="dxa"/>
          </w:tblCellMar>
        </w:tblPrEx>
        <w:trPr>
          <w:tblCellSpacing w:w="60" w:type="dxa"/>
        </w:trPr>
        <w:tc>
          <w:tcPr>
            <w:tcW w:w="1200" w:type="pct"/>
            <w:shd w:val="clear" w:color="auto" w:fill="E7F0F9"/>
          </w:tcPr>
          <w:p w:rsidR="00531C6E" w:rsidRDefault="004C6EC1">
            <w:pPr>
              <w:spacing w:after="0" w:line="240" w:lineRule="auto"/>
            </w:pPr>
            <w:bookmarkStart w:id="0" w:name="_GoBack"/>
            <w:bookmarkEnd w:id="0"/>
            <w:r>
              <w:rPr>
                <w:b/>
              </w:rPr>
              <w:t>RKP broj</w:t>
            </w:r>
          </w:p>
        </w:tc>
        <w:tc>
          <w:tcPr>
            <w:tcW w:w="0" w:type="auto"/>
            <w:shd w:val="clear" w:color="auto" w:fill="E7F0F9"/>
          </w:tcPr>
          <w:p w:rsidR="00531C6E" w:rsidRDefault="004C6EC1">
            <w:pPr>
              <w:spacing w:after="0" w:line="240" w:lineRule="auto"/>
            </w:pPr>
            <w:r>
              <w:t>3429</w:t>
            </w:r>
          </w:p>
        </w:tc>
      </w:tr>
      <w:tr w:rsidR="00531C6E">
        <w:tblPrEx>
          <w:tblCellMar>
            <w:top w:w="0" w:type="dxa"/>
            <w:bottom w:w="0" w:type="dxa"/>
          </w:tblCellMar>
        </w:tblPrEx>
        <w:trPr>
          <w:tblCellSpacing w:w="60" w:type="dxa"/>
        </w:trPr>
        <w:tc>
          <w:tcPr>
            <w:tcW w:w="1200" w:type="pct"/>
            <w:shd w:val="clear" w:color="auto" w:fill="E7F0F9"/>
          </w:tcPr>
          <w:p w:rsidR="00531C6E" w:rsidRDefault="004C6EC1">
            <w:pPr>
              <w:spacing w:after="0" w:line="240" w:lineRule="auto"/>
            </w:pPr>
            <w:r>
              <w:rPr>
                <w:b/>
              </w:rPr>
              <w:t>Naziv obveznika</w:t>
            </w:r>
          </w:p>
        </w:tc>
        <w:tc>
          <w:tcPr>
            <w:tcW w:w="0" w:type="auto"/>
            <w:shd w:val="clear" w:color="auto" w:fill="E7F0F9"/>
          </w:tcPr>
          <w:p w:rsidR="00531C6E" w:rsidRDefault="004C6EC1">
            <w:pPr>
              <w:spacing w:after="0" w:line="240" w:lineRule="auto"/>
            </w:pPr>
            <w:r>
              <w:t>ŽUPANIJSKI SUD U OSIJEKU</w:t>
            </w:r>
          </w:p>
        </w:tc>
      </w:tr>
      <w:tr w:rsidR="00531C6E">
        <w:tblPrEx>
          <w:tblCellMar>
            <w:top w:w="0" w:type="dxa"/>
            <w:bottom w:w="0" w:type="dxa"/>
          </w:tblCellMar>
        </w:tblPrEx>
        <w:trPr>
          <w:tblCellSpacing w:w="60" w:type="dxa"/>
        </w:trPr>
        <w:tc>
          <w:tcPr>
            <w:tcW w:w="1200" w:type="pct"/>
            <w:shd w:val="clear" w:color="auto" w:fill="E7F0F9"/>
          </w:tcPr>
          <w:p w:rsidR="00531C6E" w:rsidRDefault="004C6EC1">
            <w:pPr>
              <w:spacing w:after="0" w:line="240" w:lineRule="auto"/>
            </w:pPr>
            <w:r>
              <w:rPr>
                <w:b/>
              </w:rPr>
              <w:t>Razina</w:t>
            </w:r>
          </w:p>
        </w:tc>
        <w:tc>
          <w:tcPr>
            <w:tcW w:w="0" w:type="auto"/>
            <w:shd w:val="clear" w:color="auto" w:fill="E7F0F9"/>
          </w:tcPr>
          <w:p w:rsidR="00531C6E" w:rsidRDefault="004C6EC1">
            <w:pPr>
              <w:spacing w:after="0" w:line="240" w:lineRule="auto"/>
            </w:pPr>
            <w:r>
              <w:t>11</w:t>
            </w:r>
          </w:p>
        </w:tc>
      </w:tr>
    </w:tbl>
    <w:p w:rsidR="00531C6E" w:rsidRDefault="004C6EC1">
      <w:r>
        <w:br/>
      </w:r>
    </w:p>
    <w:p w:rsidR="00531C6E" w:rsidRDefault="004C6EC1">
      <w:pPr>
        <w:spacing w:line="240" w:lineRule="auto"/>
        <w:jc w:val="center"/>
      </w:pPr>
      <w:r>
        <w:rPr>
          <w:b/>
          <w:sz w:val="28"/>
        </w:rPr>
        <w:t>BILJEŠKE UZ FINANCIJSKE IZVJEŠTAJE</w:t>
      </w:r>
    </w:p>
    <w:p w:rsidR="00531C6E" w:rsidRDefault="004C6EC1">
      <w:pPr>
        <w:spacing w:line="240" w:lineRule="auto"/>
        <w:jc w:val="center"/>
      </w:pPr>
      <w:r>
        <w:rPr>
          <w:b/>
          <w:sz w:val="28"/>
        </w:rPr>
        <w:t>ZA RAZDOBLJE</w:t>
      </w:r>
    </w:p>
    <w:p w:rsidR="00531C6E" w:rsidRDefault="004C6EC1">
      <w:pPr>
        <w:spacing w:line="240" w:lineRule="auto"/>
        <w:jc w:val="center"/>
      </w:pPr>
      <w:r>
        <w:rPr>
          <w:b/>
          <w:sz w:val="28"/>
        </w:rPr>
        <w:t>I - XII 2025.</w:t>
      </w:r>
    </w:p>
    <w:p w:rsidR="00531C6E" w:rsidRDefault="00531C6E"/>
    <w:p w:rsidR="00531C6E" w:rsidRDefault="004C6EC1">
      <w:pPr>
        <w:keepNext/>
        <w:spacing w:line="240" w:lineRule="auto"/>
        <w:jc w:val="center"/>
      </w:pPr>
      <w:r>
        <w:rPr>
          <w:b/>
          <w:sz w:val="28"/>
        </w:rPr>
        <w:t>Izvještaj o prihodima i rashodima, primicima i izdacima</w:t>
      </w:r>
    </w:p>
    <w:p w:rsidR="00531C6E" w:rsidRDefault="004C6EC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6</w:t>
            </w:r>
          </w:p>
        </w:tc>
        <w:tc>
          <w:tcPr>
            <w:tcW w:w="3180" w:type="dxa"/>
            <w:tcMar>
              <w:top w:w="0" w:type="dxa"/>
              <w:bottom w:w="0" w:type="dxa"/>
            </w:tcMar>
            <w:vAlign w:val="center"/>
          </w:tcPr>
          <w:p w:rsidR="00531C6E" w:rsidRDefault="004C6EC1">
            <w:pPr>
              <w:keepNext/>
              <w:keepLines/>
              <w:spacing w:after="0" w:line="240" w:lineRule="auto"/>
            </w:pPr>
            <w:r>
              <w:rPr>
                <w:sz w:val="18"/>
              </w:rPr>
              <w:t>PRIHODI POSLOVANJA (šifre 61+62+63+64+65+66+67+68)</w:t>
            </w:r>
          </w:p>
        </w:tc>
        <w:tc>
          <w:tcPr>
            <w:tcW w:w="700" w:type="dxa"/>
            <w:tcMar>
              <w:top w:w="0" w:type="dxa"/>
              <w:bottom w:w="0" w:type="dxa"/>
            </w:tcMar>
            <w:vAlign w:val="center"/>
          </w:tcPr>
          <w:p w:rsidR="00531C6E" w:rsidRDefault="004C6EC1">
            <w:pPr>
              <w:keepNext/>
              <w:keepLines/>
              <w:spacing w:after="0" w:line="240" w:lineRule="auto"/>
            </w:pPr>
            <w:r>
              <w:rPr>
                <w:sz w:val="18"/>
              </w:rPr>
              <w:t>6</w:t>
            </w:r>
          </w:p>
        </w:tc>
        <w:tc>
          <w:tcPr>
            <w:tcW w:w="1860" w:type="dxa"/>
            <w:tcMar>
              <w:top w:w="0" w:type="dxa"/>
              <w:bottom w:w="0" w:type="dxa"/>
            </w:tcMar>
            <w:vAlign w:val="center"/>
          </w:tcPr>
          <w:p w:rsidR="00531C6E" w:rsidRDefault="004C6EC1">
            <w:pPr>
              <w:keepNext/>
              <w:keepLines/>
              <w:spacing w:after="0" w:line="240" w:lineRule="auto"/>
              <w:jc w:val="right"/>
            </w:pPr>
            <w:r>
              <w:rPr>
                <w:sz w:val="18"/>
              </w:rPr>
              <w:t>5.072.793,83</w:t>
            </w:r>
          </w:p>
        </w:tc>
        <w:tc>
          <w:tcPr>
            <w:tcW w:w="1860" w:type="dxa"/>
            <w:tcMar>
              <w:top w:w="0" w:type="dxa"/>
              <w:bottom w:w="0" w:type="dxa"/>
            </w:tcMar>
            <w:vAlign w:val="center"/>
          </w:tcPr>
          <w:p w:rsidR="00531C6E" w:rsidRDefault="004C6EC1">
            <w:pPr>
              <w:keepNext/>
              <w:keepLines/>
              <w:spacing w:after="0" w:line="240" w:lineRule="auto"/>
              <w:jc w:val="right"/>
            </w:pPr>
            <w:r>
              <w:rPr>
                <w:sz w:val="18"/>
              </w:rPr>
              <w:t>5.779.424,30</w:t>
            </w:r>
          </w:p>
        </w:tc>
        <w:tc>
          <w:tcPr>
            <w:tcW w:w="700" w:type="dxa"/>
            <w:tcMar>
              <w:top w:w="0" w:type="dxa"/>
              <w:bottom w:w="0" w:type="dxa"/>
            </w:tcMar>
            <w:vAlign w:val="center"/>
          </w:tcPr>
          <w:p w:rsidR="00531C6E" w:rsidRDefault="004C6EC1">
            <w:pPr>
              <w:keepNext/>
              <w:keepLines/>
              <w:spacing w:after="0" w:line="240" w:lineRule="auto"/>
              <w:jc w:val="right"/>
            </w:pPr>
            <w:r>
              <w:rPr>
                <w:sz w:val="18"/>
              </w:rPr>
              <w:t>113,9</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3</w:t>
            </w:r>
          </w:p>
        </w:tc>
        <w:tc>
          <w:tcPr>
            <w:tcW w:w="3180" w:type="dxa"/>
            <w:tcMar>
              <w:top w:w="0" w:type="dxa"/>
              <w:bottom w:w="0" w:type="dxa"/>
            </w:tcMar>
            <w:vAlign w:val="center"/>
          </w:tcPr>
          <w:p w:rsidR="00531C6E" w:rsidRDefault="004C6EC1">
            <w:pPr>
              <w:keepNext/>
              <w:keepLines/>
              <w:spacing w:after="0" w:line="240" w:lineRule="auto"/>
            </w:pPr>
            <w:r>
              <w:rPr>
                <w:sz w:val="18"/>
              </w:rPr>
              <w:t>RASHODI POSLOVANJA (šifre 31+32+34+35+36+37+38)</w:t>
            </w:r>
          </w:p>
        </w:tc>
        <w:tc>
          <w:tcPr>
            <w:tcW w:w="700" w:type="dxa"/>
            <w:tcMar>
              <w:top w:w="0" w:type="dxa"/>
              <w:bottom w:w="0" w:type="dxa"/>
            </w:tcMar>
            <w:vAlign w:val="center"/>
          </w:tcPr>
          <w:p w:rsidR="00531C6E" w:rsidRDefault="004C6EC1">
            <w:pPr>
              <w:keepNext/>
              <w:keepLines/>
              <w:spacing w:after="0" w:line="240" w:lineRule="auto"/>
            </w:pPr>
            <w:r>
              <w:rPr>
                <w:sz w:val="18"/>
              </w:rPr>
              <w:t>3</w:t>
            </w:r>
          </w:p>
        </w:tc>
        <w:tc>
          <w:tcPr>
            <w:tcW w:w="1860" w:type="dxa"/>
            <w:tcMar>
              <w:top w:w="0" w:type="dxa"/>
              <w:bottom w:w="0" w:type="dxa"/>
            </w:tcMar>
            <w:vAlign w:val="center"/>
          </w:tcPr>
          <w:p w:rsidR="00531C6E" w:rsidRDefault="004C6EC1">
            <w:pPr>
              <w:keepNext/>
              <w:keepLines/>
              <w:spacing w:after="0" w:line="240" w:lineRule="auto"/>
              <w:jc w:val="right"/>
            </w:pPr>
            <w:r>
              <w:rPr>
                <w:sz w:val="18"/>
              </w:rPr>
              <w:t>5.063.184,34</w:t>
            </w:r>
          </w:p>
        </w:tc>
        <w:tc>
          <w:tcPr>
            <w:tcW w:w="1860" w:type="dxa"/>
            <w:tcMar>
              <w:top w:w="0" w:type="dxa"/>
              <w:bottom w:w="0" w:type="dxa"/>
            </w:tcMar>
            <w:vAlign w:val="center"/>
          </w:tcPr>
          <w:p w:rsidR="00531C6E" w:rsidRDefault="004C6EC1">
            <w:pPr>
              <w:keepNext/>
              <w:keepLines/>
              <w:spacing w:after="0" w:line="240" w:lineRule="auto"/>
              <w:jc w:val="right"/>
            </w:pPr>
            <w:r>
              <w:rPr>
                <w:sz w:val="18"/>
              </w:rPr>
              <w:t>6.214.708,75</w:t>
            </w:r>
          </w:p>
        </w:tc>
        <w:tc>
          <w:tcPr>
            <w:tcW w:w="700" w:type="dxa"/>
            <w:tcMar>
              <w:top w:w="0" w:type="dxa"/>
              <w:bottom w:w="0" w:type="dxa"/>
            </w:tcMar>
            <w:vAlign w:val="center"/>
          </w:tcPr>
          <w:p w:rsidR="00531C6E" w:rsidRDefault="004C6EC1">
            <w:pPr>
              <w:keepNext/>
              <w:keepLines/>
              <w:spacing w:after="0" w:line="240" w:lineRule="auto"/>
              <w:jc w:val="right"/>
            </w:pPr>
            <w:r>
              <w:rPr>
                <w:sz w:val="18"/>
              </w:rPr>
              <w:t>122,7</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531C6E">
            <w:pPr>
              <w:keepNext/>
              <w:keepLines/>
              <w:spacing w:after="0" w:line="240" w:lineRule="auto"/>
            </w:pPr>
          </w:p>
        </w:tc>
        <w:tc>
          <w:tcPr>
            <w:tcW w:w="3180" w:type="dxa"/>
            <w:tcMar>
              <w:top w:w="0" w:type="dxa"/>
              <w:bottom w:w="0" w:type="dxa"/>
            </w:tcMar>
            <w:vAlign w:val="center"/>
          </w:tcPr>
          <w:p w:rsidR="00531C6E" w:rsidRDefault="004C6EC1">
            <w:pPr>
              <w:keepNext/>
              <w:keepLines/>
              <w:spacing w:after="0" w:line="240" w:lineRule="auto"/>
            </w:pPr>
            <w:r>
              <w:rPr>
                <w:b/>
                <w:sz w:val="18"/>
              </w:rPr>
              <w:t>MANJAK PRIHODA POSLOVANJA (šifre Z005-6)</w:t>
            </w:r>
          </w:p>
        </w:tc>
        <w:tc>
          <w:tcPr>
            <w:tcW w:w="700" w:type="dxa"/>
            <w:tcMar>
              <w:top w:w="0" w:type="dxa"/>
              <w:bottom w:w="0" w:type="dxa"/>
            </w:tcMar>
            <w:vAlign w:val="center"/>
          </w:tcPr>
          <w:p w:rsidR="00531C6E" w:rsidRDefault="004C6EC1">
            <w:pPr>
              <w:keepNext/>
              <w:keepLines/>
              <w:spacing w:after="0" w:line="240" w:lineRule="auto"/>
            </w:pPr>
            <w:r>
              <w:rPr>
                <w:b/>
                <w:sz w:val="18"/>
              </w:rPr>
              <w:t>Y001</w:t>
            </w:r>
          </w:p>
        </w:tc>
        <w:tc>
          <w:tcPr>
            <w:tcW w:w="1860" w:type="dxa"/>
            <w:tcMar>
              <w:top w:w="0" w:type="dxa"/>
              <w:bottom w:w="0" w:type="dxa"/>
            </w:tcMar>
            <w:vAlign w:val="center"/>
          </w:tcPr>
          <w:p w:rsidR="00531C6E" w:rsidRDefault="004C6EC1">
            <w:pPr>
              <w:keepNext/>
              <w:keepLines/>
              <w:spacing w:after="0" w:line="240" w:lineRule="auto"/>
              <w:jc w:val="right"/>
            </w:pPr>
            <w:r>
              <w:rPr>
                <w:b/>
                <w:sz w:val="18"/>
              </w:rPr>
              <w:t>0,00</w:t>
            </w:r>
          </w:p>
        </w:tc>
        <w:tc>
          <w:tcPr>
            <w:tcW w:w="1860" w:type="dxa"/>
            <w:tcMar>
              <w:top w:w="0" w:type="dxa"/>
              <w:bottom w:w="0" w:type="dxa"/>
            </w:tcMar>
            <w:vAlign w:val="center"/>
          </w:tcPr>
          <w:p w:rsidR="00531C6E" w:rsidRDefault="004C6EC1">
            <w:pPr>
              <w:keepNext/>
              <w:keepLines/>
              <w:spacing w:after="0" w:line="240" w:lineRule="auto"/>
              <w:jc w:val="right"/>
            </w:pPr>
            <w:r>
              <w:rPr>
                <w:b/>
                <w:sz w:val="18"/>
              </w:rPr>
              <w:t>435.284,45</w:t>
            </w:r>
          </w:p>
        </w:tc>
        <w:tc>
          <w:tcPr>
            <w:tcW w:w="700" w:type="dxa"/>
            <w:tcMar>
              <w:top w:w="0" w:type="dxa"/>
              <w:bottom w:w="0" w:type="dxa"/>
            </w:tcMar>
            <w:vAlign w:val="center"/>
          </w:tcPr>
          <w:p w:rsidR="00531C6E" w:rsidRDefault="004C6EC1">
            <w:pPr>
              <w:keepNext/>
              <w:keepLines/>
              <w:spacing w:after="0" w:line="240" w:lineRule="auto"/>
              <w:jc w:val="right"/>
            </w:pPr>
            <w:r>
              <w:rPr>
                <w:b/>
                <w:sz w:val="18"/>
              </w:rPr>
              <w:t>-</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7</w:t>
            </w:r>
          </w:p>
        </w:tc>
        <w:tc>
          <w:tcPr>
            <w:tcW w:w="3180" w:type="dxa"/>
            <w:tcMar>
              <w:top w:w="0" w:type="dxa"/>
              <w:bottom w:w="0" w:type="dxa"/>
            </w:tcMar>
            <w:vAlign w:val="center"/>
          </w:tcPr>
          <w:p w:rsidR="00531C6E" w:rsidRDefault="004C6EC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31C6E" w:rsidRDefault="004C6EC1">
            <w:pPr>
              <w:keepNext/>
              <w:keepLines/>
              <w:spacing w:after="0" w:line="240" w:lineRule="auto"/>
            </w:pPr>
            <w:r>
              <w:rPr>
                <w:sz w:val="18"/>
              </w:rPr>
              <w:t>7</w:t>
            </w:r>
          </w:p>
        </w:tc>
        <w:tc>
          <w:tcPr>
            <w:tcW w:w="1860" w:type="dxa"/>
            <w:tcMar>
              <w:top w:w="0" w:type="dxa"/>
              <w:bottom w:w="0" w:type="dxa"/>
            </w:tcMar>
            <w:vAlign w:val="center"/>
          </w:tcPr>
          <w:p w:rsidR="00531C6E" w:rsidRDefault="004C6EC1">
            <w:pPr>
              <w:keepNext/>
              <w:keepLines/>
              <w:spacing w:after="0" w:line="240" w:lineRule="auto"/>
              <w:jc w:val="right"/>
            </w:pPr>
            <w:r>
              <w:rPr>
                <w:sz w:val="18"/>
              </w:rPr>
              <w:t>0,00</w:t>
            </w:r>
          </w:p>
        </w:tc>
        <w:tc>
          <w:tcPr>
            <w:tcW w:w="1860" w:type="dxa"/>
            <w:tcMar>
              <w:top w:w="0" w:type="dxa"/>
              <w:bottom w:w="0" w:type="dxa"/>
            </w:tcMar>
            <w:vAlign w:val="center"/>
          </w:tcPr>
          <w:p w:rsidR="00531C6E" w:rsidRDefault="004C6EC1">
            <w:pPr>
              <w:keepNext/>
              <w:keepLines/>
              <w:spacing w:after="0" w:line="240" w:lineRule="auto"/>
              <w:jc w:val="right"/>
            </w:pPr>
            <w:r>
              <w:rPr>
                <w:sz w:val="18"/>
              </w:rPr>
              <w:t>0,00</w:t>
            </w:r>
          </w:p>
        </w:tc>
        <w:tc>
          <w:tcPr>
            <w:tcW w:w="700" w:type="dxa"/>
            <w:tcMar>
              <w:top w:w="0" w:type="dxa"/>
              <w:bottom w:w="0" w:type="dxa"/>
            </w:tcMar>
            <w:vAlign w:val="center"/>
          </w:tcPr>
          <w:p w:rsidR="00531C6E" w:rsidRDefault="004C6EC1">
            <w:pPr>
              <w:keepNext/>
              <w:keepLines/>
              <w:spacing w:after="0" w:line="240" w:lineRule="auto"/>
              <w:jc w:val="right"/>
            </w:pPr>
            <w:r>
              <w:rPr>
                <w:sz w:val="18"/>
              </w:rPr>
              <w:t>-</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4</w:t>
            </w:r>
          </w:p>
        </w:tc>
        <w:tc>
          <w:tcPr>
            <w:tcW w:w="3180" w:type="dxa"/>
            <w:tcMar>
              <w:top w:w="0" w:type="dxa"/>
              <w:bottom w:w="0" w:type="dxa"/>
            </w:tcMar>
            <w:vAlign w:val="center"/>
          </w:tcPr>
          <w:p w:rsidR="00531C6E" w:rsidRDefault="004C6EC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31C6E" w:rsidRDefault="004C6EC1">
            <w:pPr>
              <w:keepNext/>
              <w:keepLines/>
              <w:spacing w:after="0" w:line="240" w:lineRule="auto"/>
            </w:pPr>
            <w:r>
              <w:rPr>
                <w:sz w:val="18"/>
              </w:rPr>
              <w:t>4</w:t>
            </w:r>
          </w:p>
        </w:tc>
        <w:tc>
          <w:tcPr>
            <w:tcW w:w="1860" w:type="dxa"/>
            <w:tcMar>
              <w:top w:w="0" w:type="dxa"/>
              <w:bottom w:w="0" w:type="dxa"/>
            </w:tcMar>
            <w:vAlign w:val="center"/>
          </w:tcPr>
          <w:p w:rsidR="00531C6E" w:rsidRDefault="004C6EC1">
            <w:pPr>
              <w:keepNext/>
              <w:keepLines/>
              <w:spacing w:after="0" w:line="240" w:lineRule="auto"/>
              <w:jc w:val="right"/>
            </w:pPr>
            <w:r>
              <w:rPr>
                <w:sz w:val="18"/>
              </w:rPr>
              <w:t>1.341,40</w:t>
            </w:r>
          </w:p>
        </w:tc>
        <w:tc>
          <w:tcPr>
            <w:tcW w:w="1860" w:type="dxa"/>
            <w:tcMar>
              <w:top w:w="0" w:type="dxa"/>
              <w:bottom w:w="0" w:type="dxa"/>
            </w:tcMar>
            <w:vAlign w:val="center"/>
          </w:tcPr>
          <w:p w:rsidR="00531C6E" w:rsidRDefault="004C6EC1">
            <w:pPr>
              <w:keepNext/>
              <w:keepLines/>
              <w:spacing w:after="0" w:line="240" w:lineRule="auto"/>
              <w:jc w:val="right"/>
            </w:pPr>
            <w:r>
              <w:rPr>
                <w:sz w:val="18"/>
              </w:rPr>
              <w:t>875,00</w:t>
            </w:r>
          </w:p>
        </w:tc>
        <w:tc>
          <w:tcPr>
            <w:tcW w:w="700" w:type="dxa"/>
            <w:tcMar>
              <w:top w:w="0" w:type="dxa"/>
              <w:bottom w:w="0" w:type="dxa"/>
            </w:tcMar>
            <w:vAlign w:val="center"/>
          </w:tcPr>
          <w:p w:rsidR="00531C6E" w:rsidRDefault="004C6EC1">
            <w:pPr>
              <w:keepNext/>
              <w:keepLines/>
              <w:spacing w:after="0" w:line="240" w:lineRule="auto"/>
              <w:jc w:val="right"/>
            </w:pPr>
            <w:r>
              <w:rPr>
                <w:sz w:val="18"/>
              </w:rPr>
              <w:t>65,2</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531C6E">
            <w:pPr>
              <w:keepNext/>
              <w:keepLines/>
              <w:spacing w:after="0" w:line="240" w:lineRule="auto"/>
            </w:pPr>
          </w:p>
        </w:tc>
        <w:tc>
          <w:tcPr>
            <w:tcW w:w="3180" w:type="dxa"/>
            <w:tcMar>
              <w:top w:w="0" w:type="dxa"/>
              <w:bottom w:w="0" w:type="dxa"/>
            </w:tcMar>
            <w:vAlign w:val="center"/>
          </w:tcPr>
          <w:p w:rsidR="00531C6E" w:rsidRDefault="004C6EC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31C6E" w:rsidRDefault="004C6EC1">
            <w:pPr>
              <w:keepNext/>
              <w:keepLines/>
              <w:spacing w:after="0" w:line="240" w:lineRule="auto"/>
            </w:pPr>
            <w:r>
              <w:rPr>
                <w:b/>
                <w:sz w:val="18"/>
              </w:rPr>
              <w:t>Y002</w:t>
            </w:r>
          </w:p>
        </w:tc>
        <w:tc>
          <w:tcPr>
            <w:tcW w:w="1860" w:type="dxa"/>
            <w:tcMar>
              <w:top w:w="0" w:type="dxa"/>
              <w:bottom w:w="0" w:type="dxa"/>
            </w:tcMar>
            <w:vAlign w:val="center"/>
          </w:tcPr>
          <w:p w:rsidR="00531C6E" w:rsidRDefault="004C6EC1">
            <w:pPr>
              <w:keepNext/>
              <w:keepLines/>
              <w:spacing w:after="0" w:line="240" w:lineRule="auto"/>
              <w:jc w:val="right"/>
            </w:pPr>
            <w:r>
              <w:rPr>
                <w:b/>
                <w:sz w:val="18"/>
              </w:rPr>
              <w:t>1.341,40</w:t>
            </w:r>
          </w:p>
        </w:tc>
        <w:tc>
          <w:tcPr>
            <w:tcW w:w="1860" w:type="dxa"/>
            <w:tcMar>
              <w:top w:w="0" w:type="dxa"/>
              <w:bottom w:w="0" w:type="dxa"/>
            </w:tcMar>
            <w:vAlign w:val="center"/>
          </w:tcPr>
          <w:p w:rsidR="00531C6E" w:rsidRDefault="004C6EC1">
            <w:pPr>
              <w:keepNext/>
              <w:keepLines/>
              <w:spacing w:after="0" w:line="240" w:lineRule="auto"/>
              <w:jc w:val="right"/>
            </w:pPr>
            <w:r>
              <w:rPr>
                <w:b/>
                <w:sz w:val="18"/>
              </w:rPr>
              <w:t>875,00</w:t>
            </w:r>
          </w:p>
        </w:tc>
        <w:tc>
          <w:tcPr>
            <w:tcW w:w="700" w:type="dxa"/>
            <w:tcMar>
              <w:top w:w="0" w:type="dxa"/>
              <w:bottom w:w="0" w:type="dxa"/>
            </w:tcMar>
            <w:vAlign w:val="center"/>
          </w:tcPr>
          <w:p w:rsidR="00531C6E" w:rsidRDefault="004C6EC1">
            <w:pPr>
              <w:keepNext/>
              <w:keepLines/>
              <w:spacing w:after="0" w:line="240" w:lineRule="auto"/>
              <w:jc w:val="right"/>
            </w:pPr>
            <w:r>
              <w:rPr>
                <w:b/>
                <w:sz w:val="18"/>
              </w:rPr>
              <w:t>65,2</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8</w:t>
            </w:r>
          </w:p>
        </w:tc>
        <w:tc>
          <w:tcPr>
            <w:tcW w:w="3180" w:type="dxa"/>
            <w:tcMar>
              <w:top w:w="0" w:type="dxa"/>
              <w:bottom w:w="0" w:type="dxa"/>
            </w:tcMar>
            <w:vAlign w:val="center"/>
          </w:tcPr>
          <w:p w:rsidR="00531C6E" w:rsidRDefault="004C6EC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31C6E" w:rsidRDefault="004C6EC1">
            <w:pPr>
              <w:keepNext/>
              <w:keepLines/>
              <w:spacing w:after="0" w:line="240" w:lineRule="auto"/>
            </w:pPr>
            <w:r>
              <w:rPr>
                <w:sz w:val="18"/>
              </w:rPr>
              <w:t>8</w:t>
            </w:r>
          </w:p>
        </w:tc>
        <w:tc>
          <w:tcPr>
            <w:tcW w:w="1860" w:type="dxa"/>
            <w:tcMar>
              <w:top w:w="0" w:type="dxa"/>
              <w:bottom w:w="0" w:type="dxa"/>
            </w:tcMar>
            <w:vAlign w:val="center"/>
          </w:tcPr>
          <w:p w:rsidR="00531C6E" w:rsidRDefault="004C6EC1">
            <w:pPr>
              <w:keepNext/>
              <w:keepLines/>
              <w:spacing w:after="0" w:line="240" w:lineRule="auto"/>
              <w:jc w:val="right"/>
            </w:pPr>
            <w:r>
              <w:rPr>
                <w:sz w:val="18"/>
              </w:rPr>
              <w:t>0,00</w:t>
            </w:r>
          </w:p>
        </w:tc>
        <w:tc>
          <w:tcPr>
            <w:tcW w:w="1860" w:type="dxa"/>
            <w:tcMar>
              <w:top w:w="0" w:type="dxa"/>
              <w:bottom w:w="0" w:type="dxa"/>
            </w:tcMar>
            <w:vAlign w:val="center"/>
          </w:tcPr>
          <w:p w:rsidR="00531C6E" w:rsidRDefault="004C6EC1">
            <w:pPr>
              <w:keepNext/>
              <w:keepLines/>
              <w:spacing w:after="0" w:line="240" w:lineRule="auto"/>
              <w:jc w:val="right"/>
            </w:pPr>
            <w:r>
              <w:rPr>
                <w:sz w:val="18"/>
              </w:rPr>
              <w:t>0,00</w:t>
            </w:r>
          </w:p>
        </w:tc>
        <w:tc>
          <w:tcPr>
            <w:tcW w:w="700" w:type="dxa"/>
            <w:tcMar>
              <w:top w:w="0" w:type="dxa"/>
              <w:bottom w:w="0" w:type="dxa"/>
            </w:tcMar>
            <w:vAlign w:val="center"/>
          </w:tcPr>
          <w:p w:rsidR="00531C6E" w:rsidRDefault="004C6EC1">
            <w:pPr>
              <w:keepNext/>
              <w:keepLines/>
              <w:spacing w:after="0" w:line="240" w:lineRule="auto"/>
              <w:jc w:val="right"/>
            </w:pPr>
            <w:r>
              <w:rPr>
                <w:sz w:val="18"/>
              </w:rPr>
              <w:t>-</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5</w:t>
            </w:r>
          </w:p>
        </w:tc>
        <w:tc>
          <w:tcPr>
            <w:tcW w:w="3180" w:type="dxa"/>
            <w:tcMar>
              <w:top w:w="0" w:type="dxa"/>
              <w:bottom w:w="0" w:type="dxa"/>
            </w:tcMar>
            <w:vAlign w:val="center"/>
          </w:tcPr>
          <w:p w:rsidR="00531C6E" w:rsidRDefault="004C6EC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531C6E" w:rsidRDefault="004C6EC1">
            <w:pPr>
              <w:keepNext/>
              <w:keepLines/>
              <w:spacing w:after="0" w:line="240" w:lineRule="auto"/>
            </w:pPr>
            <w:r>
              <w:rPr>
                <w:sz w:val="18"/>
              </w:rPr>
              <w:t>5</w:t>
            </w:r>
          </w:p>
        </w:tc>
        <w:tc>
          <w:tcPr>
            <w:tcW w:w="1860" w:type="dxa"/>
            <w:tcMar>
              <w:top w:w="0" w:type="dxa"/>
              <w:bottom w:w="0" w:type="dxa"/>
            </w:tcMar>
            <w:vAlign w:val="center"/>
          </w:tcPr>
          <w:p w:rsidR="00531C6E" w:rsidRDefault="004C6EC1">
            <w:pPr>
              <w:keepNext/>
              <w:keepLines/>
              <w:spacing w:after="0" w:line="240" w:lineRule="auto"/>
              <w:jc w:val="right"/>
            </w:pPr>
            <w:r>
              <w:rPr>
                <w:sz w:val="18"/>
              </w:rPr>
              <w:t>4.916,49</w:t>
            </w:r>
          </w:p>
        </w:tc>
        <w:tc>
          <w:tcPr>
            <w:tcW w:w="1860" w:type="dxa"/>
            <w:tcMar>
              <w:top w:w="0" w:type="dxa"/>
              <w:bottom w:w="0" w:type="dxa"/>
            </w:tcMar>
            <w:vAlign w:val="center"/>
          </w:tcPr>
          <w:p w:rsidR="00531C6E" w:rsidRDefault="004C6EC1">
            <w:pPr>
              <w:keepNext/>
              <w:keepLines/>
              <w:spacing w:after="0" w:line="240" w:lineRule="auto"/>
              <w:jc w:val="right"/>
            </w:pPr>
            <w:r>
              <w:rPr>
                <w:sz w:val="18"/>
              </w:rPr>
              <w:t>5.073,10</w:t>
            </w:r>
          </w:p>
        </w:tc>
        <w:tc>
          <w:tcPr>
            <w:tcW w:w="700" w:type="dxa"/>
            <w:tcMar>
              <w:top w:w="0" w:type="dxa"/>
              <w:bottom w:w="0" w:type="dxa"/>
            </w:tcMar>
            <w:vAlign w:val="center"/>
          </w:tcPr>
          <w:p w:rsidR="00531C6E" w:rsidRDefault="004C6EC1">
            <w:pPr>
              <w:keepNext/>
              <w:keepLines/>
              <w:spacing w:after="0" w:line="240" w:lineRule="auto"/>
              <w:jc w:val="right"/>
            </w:pPr>
            <w:r>
              <w:rPr>
                <w:sz w:val="18"/>
              </w:rPr>
              <w:t>103,2</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531C6E">
            <w:pPr>
              <w:keepNext/>
              <w:keepLines/>
              <w:spacing w:after="0" w:line="240" w:lineRule="auto"/>
            </w:pPr>
          </w:p>
        </w:tc>
        <w:tc>
          <w:tcPr>
            <w:tcW w:w="3180" w:type="dxa"/>
            <w:tcMar>
              <w:top w:w="0" w:type="dxa"/>
              <w:bottom w:w="0" w:type="dxa"/>
            </w:tcMar>
            <w:vAlign w:val="center"/>
          </w:tcPr>
          <w:p w:rsidR="00531C6E" w:rsidRDefault="004C6EC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531C6E" w:rsidRDefault="004C6EC1">
            <w:pPr>
              <w:keepNext/>
              <w:keepLines/>
              <w:spacing w:after="0" w:line="240" w:lineRule="auto"/>
            </w:pPr>
            <w:r>
              <w:rPr>
                <w:b/>
                <w:sz w:val="18"/>
              </w:rPr>
              <w:t>Y003</w:t>
            </w:r>
          </w:p>
        </w:tc>
        <w:tc>
          <w:tcPr>
            <w:tcW w:w="1860" w:type="dxa"/>
            <w:tcMar>
              <w:top w:w="0" w:type="dxa"/>
              <w:bottom w:w="0" w:type="dxa"/>
            </w:tcMar>
            <w:vAlign w:val="center"/>
          </w:tcPr>
          <w:p w:rsidR="00531C6E" w:rsidRDefault="004C6EC1">
            <w:pPr>
              <w:keepNext/>
              <w:keepLines/>
              <w:spacing w:after="0" w:line="240" w:lineRule="auto"/>
              <w:jc w:val="right"/>
            </w:pPr>
            <w:r>
              <w:rPr>
                <w:b/>
                <w:sz w:val="18"/>
              </w:rPr>
              <w:t>4.916,49</w:t>
            </w:r>
          </w:p>
        </w:tc>
        <w:tc>
          <w:tcPr>
            <w:tcW w:w="1860" w:type="dxa"/>
            <w:tcMar>
              <w:top w:w="0" w:type="dxa"/>
              <w:bottom w:w="0" w:type="dxa"/>
            </w:tcMar>
            <w:vAlign w:val="center"/>
          </w:tcPr>
          <w:p w:rsidR="00531C6E" w:rsidRDefault="004C6EC1">
            <w:pPr>
              <w:keepNext/>
              <w:keepLines/>
              <w:spacing w:after="0" w:line="240" w:lineRule="auto"/>
              <w:jc w:val="right"/>
            </w:pPr>
            <w:r>
              <w:rPr>
                <w:b/>
                <w:sz w:val="18"/>
              </w:rPr>
              <w:t>5.073,10</w:t>
            </w:r>
          </w:p>
        </w:tc>
        <w:tc>
          <w:tcPr>
            <w:tcW w:w="700" w:type="dxa"/>
            <w:tcMar>
              <w:top w:w="0" w:type="dxa"/>
              <w:bottom w:w="0" w:type="dxa"/>
            </w:tcMar>
            <w:vAlign w:val="center"/>
          </w:tcPr>
          <w:p w:rsidR="00531C6E" w:rsidRDefault="004C6EC1">
            <w:pPr>
              <w:keepNext/>
              <w:keepLines/>
              <w:spacing w:after="0" w:line="240" w:lineRule="auto"/>
              <w:jc w:val="right"/>
            </w:pPr>
            <w:r>
              <w:rPr>
                <w:b/>
                <w:sz w:val="18"/>
              </w:rPr>
              <w:t>103,2</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531C6E">
            <w:pPr>
              <w:keepNext/>
              <w:keepLines/>
              <w:spacing w:after="0" w:line="240" w:lineRule="auto"/>
            </w:pPr>
          </w:p>
        </w:tc>
        <w:tc>
          <w:tcPr>
            <w:tcW w:w="3180" w:type="dxa"/>
            <w:tcMar>
              <w:top w:w="0" w:type="dxa"/>
              <w:bottom w:w="0" w:type="dxa"/>
            </w:tcMar>
            <w:vAlign w:val="center"/>
          </w:tcPr>
          <w:p w:rsidR="00531C6E" w:rsidRDefault="004C6EC1">
            <w:pPr>
              <w:keepNext/>
              <w:keepLines/>
              <w:spacing w:after="0" w:line="240" w:lineRule="auto"/>
            </w:pPr>
            <w:r>
              <w:rPr>
                <w:b/>
                <w:sz w:val="18"/>
              </w:rPr>
              <w:t>MANJAK PRIHODA I PRIMITAKA (šifre Y345-X678)</w:t>
            </w:r>
          </w:p>
        </w:tc>
        <w:tc>
          <w:tcPr>
            <w:tcW w:w="700" w:type="dxa"/>
            <w:tcMar>
              <w:top w:w="0" w:type="dxa"/>
              <w:bottom w:w="0" w:type="dxa"/>
            </w:tcMar>
            <w:vAlign w:val="center"/>
          </w:tcPr>
          <w:p w:rsidR="00531C6E" w:rsidRDefault="004C6EC1">
            <w:pPr>
              <w:keepNext/>
              <w:keepLines/>
              <w:spacing w:after="0" w:line="240" w:lineRule="auto"/>
            </w:pPr>
            <w:r>
              <w:rPr>
                <w:b/>
                <w:sz w:val="18"/>
              </w:rPr>
              <w:t>Y005</w:t>
            </w:r>
          </w:p>
        </w:tc>
        <w:tc>
          <w:tcPr>
            <w:tcW w:w="1860" w:type="dxa"/>
            <w:tcMar>
              <w:top w:w="0" w:type="dxa"/>
              <w:bottom w:w="0" w:type="dxa"/>
            </w:tcMar>
            <w:vAlign w:val="center"/>
          </w:tcPr>
          <w:p w:rsidR="00531C6E" w:rsidRDefault="004C6EC1">
            <w:pPr>
              <w:keepNext/>
              <w:keepLines/>
              <w:spacing w:after="0" w:line="240" w:lineRule="auto"/>
              <w:jc w:val="right"/>
            </w:pPr>
            <w:r>
              <w:rPr>
                <w:b/>
                <w:sz w:val="18"/>
              </w:rPr>
              <w:t>0,00</w:t>
            </w:r>
          </w:p>
        </w:tc>
        <w:tc>
          <w:tcPr>
            <w:tcW w:w="1860" w:type="dxa"/>
            <w:tcMar>
              <w:top w:w="0" w:type="dxa"/>
              <w:bottom w:w="0" w:type="dxa"/>
            </w:tcMar>
            <w:vAlign w:val="center"/>
          </w:tcPr>
          <w:p w:rsidR="00531C6E" w:rsidRDefault="004C6EC1">
            <w:pPr>
              <w:keepNext/>
              <w:keepLines/>
              <w:spacing w:after="0" w:line="240" w:lineRule="auto"/>
              <w:jc w:val="right"/>
            </w:pPr>
            <w:r>
              <w:rPr>
                <w:b/>
                <w:sz w:val="18"/>
              </w:rPr>
              <w:t>441.232,55</w:t>
            </w:r>
          </w:p>
        </w:tc>
        <w:tc>
          <w:tcPr>
            <w:tcW w:w="700" w:type="dxa"/>
            <w:tcMar>
              <w:top w:w="0" w:type="dxa"/>
              <w:bottom w:w="0" w:type="dxa"/>
            </w:tcMar>
            <w:vAlign w:val="center"/>
          </w:tcPr>
          <w:p w:rsidR="00531C6E" w:rsidRDefault="004C6EC1">
            <w:pPr>
              <w:keepNext/>
              <w:keepLines/>
              <w:spacing w:after="0" w:line="240" w:lineRule="auto"/>
              <w:jc w:val="right"/>
            </w:pPr>
            <w:r>
              <w:rPr>
                <w:b/>
                <w:sz w:val="18"/>
              </w:rPr>
              <w:t>-</w:t>
            </w:r>
          </w:p>
        </w:tc>
      </w:tr>
    </w:tbl>
    <w:p w:rsidR="00531C6E" w:rsidRDefault="00531C6E">
      <w:pPr>
        <w:spacing w:after="0"/>
      </w:pPr>
    </w:p>
    <w:p w:rsidR="00531C6E" w:rsidRDefault="004C6EC1">
      <w:r>
        <w:t xml:space="preserve">Ukupni prihodi poslovanja iznose 5.779.424,30 eura, a ukupni rashodi poslovanja iznose 6.214.708,75 eura. Iz toga proizlazi da je manjak prihoda poslovanja 435.284,45 eura. Također ima i prenesi manjak prihoda poslovanja u iznosu od 3.491,08 eura te nakon </w:t>
      </w:r>
      <w:r>
        <w:t>toga ukupni manjak prihoda poslovanja iznosi 438.775,53 eura.</w:t>
      </w:r>
    </w:p>
    <w:p w:rsidR="00531C6E" w:rsidRDefault="004C6EC1">
      <w:r>
        <w:lastRenderedPageBreak/>
        <w:t>Ukupni rashodi od prodaje nefinancijske imovine iznose 875,00 eura, dok je prenesi manjak od nefinancijske imovine 10.371,44 eura te stoga ukupni rashodi od nefinancijske imovine nakon toga izno</w:t>
      </w:r>
      <w:r>
        <w:t>se 11.246,44 eura.</w:t>
      </w:r>
    </w:p>
    <w:p w:rsidR="00531C6E" w:rsidRDefault="004C6EC1">
      <w:r>
        <w:t>Ukupni izdaci za financijsku imovinu iznose 5.073,10 eura.</w:t>
      </w:r>
    </w:p>
    <w:p w:rsidR="00531C6E" w:rsidRDefault="004C6EC1">
      <w:r>
        <w:t>Iz toga proizlazi da je ukupni manjak prihoda 441.232,55 eura, preneseni manjak u iznosu od 13.862,52 eura te nakon toga ukupni manjak prihoda i primitaka za pokriće poslovanja u</w:t>
      </w:r>
      <w:r>
        <w:t xml:space="preserve"> sljedećem razdoblju  iznosi 455.095,07 eura. </w:t>
      </w:r>
    </w:p>
    <w:p w:rsidR="00531C6E" w:rsidRDefault="004C6EC1">
      <w:r>
        <w:t xml:space="preserve">Provedena je obvezna korekcija manjka od financijske imovine u iznosu od 5.073,10 eura (financijski </w:t>
      </w:r>
      <w:proofErr w:type="spellStart"/>
      <w:r>
        <w:t>leasing</w:t>
      </w:r>
      <w:proofErr w:type="spellEnd"/>
      <w:r>
        <w:t>).</w:t>
      </w:r>
    </w:p>
    <w:p w:rsidR="00531C6E" w:rsidRDefault="004C6EC1">
      <w:r>
        <w:t xml:space="preserve">Županijski sud u Osijeku ima zaduženje po financijskom </w:t>
      </w:r>
      <w:proofErr w:type="spellStart"/>
      <w:r>
        <w:t>leasing</w:t>
      </w:r>
      <w:proofErr w:type="spellEnd"/>
      <w:r>
        <w:t xml:space="preserve"> na 5 godina, zaključen dana 28.07.20</w:t>
      </w:r>
      <w:r>
        <w:t>21. za kupovinu službenog vozila.</w:t>
      </w:r>
    </w:p>
    <w:p w:rsidR="00531C6E" w:rsidRDefault="004C6EC1">
      <w:r>
        <w:t> </w:t>
      </w:r>
    </w:p>
    <w:p w:rsidR="00531C6E" w:rsidRDefault="004C6EC1">
      <w:r>
        <w:br/>
      </w:r>
    </w:p>
    <w:p w:rsidR="00531C6E" w:rsidRDefault="004C6EC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3224</w:t>
            </w:r>
          </w:p>
        </w:tc>
        <w:tc>
          <w:tcPr>
            <w:tcW w:w="3180" w:type="dxa"/>
            <w:tcMar>
              <w:top w:w="0" w:type="dxa"/>
              <w:bottom w:w="0" w:type="dxa"/>
            </w:tcMar>
            <w:vAlign w:val="center"/>
          </w:tcPr>
          <w:p w:rsidR="00531C6E" w:rsidRDefault="004C6EC1">
            <w:pPr>
              <w:keepNext/>
              <w:keepLines/>
              <w:spacing w:after="0" w:line="240" w:lineRule="auto"/>
            </w:pPr>
            <w:r>
              <w:rPr>
                <w:sz w:val="18"/>
              </w:rPr>
              <w:t xml:space="preserve">Materijal i dijelovi za tekuće i investicijsko </w:t>
            </w:r>
            <w:r>
              <w:rPr>
                <w:sz w:val="18"/>
              </w:rPr>
              <w:t>održavanje</w:t>
            </w:r>
          </w:p>
        </w:tc>
        <w:tc>
          <w:tcPr>
            <w:tcW w:w="700" w:type="dxa"/>
            <w:tcMar>
              <w:top w:w="0" w:type="dxa"/>
              <w:bottom w:w="0" w:type="dxa"/>
            </w:tcMar>
            <w:vAlign w:val="center"/>
          </w:tcPr>
          <w:p w:rsidR="00531C6E" w:rsidRDefault="004C6EC1">
            <w:pPr>
              <w:keepNext/>
              <w:keepLines/>
              <w:spacing w:after="0" w:line="240" w:lineRule="auto"/>
            </w:pPr>
            <w:r>
              <w:rPr>
                <w:sz w:val="18"/>
              </w:rPr>
              <w:t>3224</w:t>
            </w:r>
          </w:p>
        </w:tc>
        <w:tc>
          <w:tcPr>
            <w:tcW w:w="1860" w:type="dxa"/>
            <w:tcMar>
              <w:top w:w="0" w:type="dxa"/>
              <w:bottom w:w="0" w:type="dxa"/>
            </w:tcMar>
            <w:vAlign w:val="center"/>
          </w:tcPr>
          <w:p w:rsidR="00531C6E" w:rsidRDefault="004C6EC1">
            <w:pPr>
              <w:keepNext/>
              <w:keepLines/>
              <w:spacing w:after="0" w:line="240" w:lineRule="auto"/>
              <w:jc w:val="right"/>
            </w:pPr>
            <w:r>
              <w:rPr>
                <w:sz w:val="18"/>
              </w:rPr>
              <w:t>1.618,94</w:t>
            </w:r>
          </w:p>
        </w:tc>
        <w:tc>
          <w:tcPr>
            <w:tcW w:w="1860" w:type="dxa"/>
            <w:tcMar>
              <w:top w:w="0" w:type="dxa"/>
              <w:bottom w:w="0" w:type="dxa"/>
            </w:tcMar>
            <w:vAlign w:val="center"/>
          </w:tcPr>
          <w:p w:rsidR="00531C6E" w:rsidRDefault="004C6EC1">
            <w:pPr>
              <w:keepNext/>
              <w:keepLines/>
              <w:spacing w:after="0" w:line="240" w:lineRule="auto"/>
              <w:jc w:val="right"/>
            </w:pPr>
            <w:r>
              <w:rPr>
                <w:sz w:val="18"/>
              </w:rPr>
              <w:t>4.078,87</w:t>
            </w:r>
          </w:p>
        </w:tc>
        <w:tc>
          <w:tcPr>
            <w:tcW w:w="700" w:type="dxa"/>
            <w:tcMar>
              <w:top w:w="0" w:type="dxa"/>
              <w:bottom w:w="0" w:type="dxa"/>
            </w:tcMar>
            <w:vAlign w:val="center"/>
          </w:tcPr>
          <w:p w:rsidR="00531C6E" w:rsidRDefault="004C6EC1">
            <w:pPr>
              <w:keepNext/>
              <w:keepLines/>
              <w:spacing w:after="0" w:line="240" w:lineRule="auto"/>
              <w:jc w:val="right"/>
            </w:pPr>
            <w:r>
              <w:rPr>
                <w:sz w:val="18"/>
              </w:rPr>
              <w:t>251,9</w:t>
            </w:r>
          </w:p>
        </w:tc>
      </w:tr>
    </w:tbl>
    <w:p w:rsidR="00531C6E" w:rsidRDefault="00531C6E">
      <w:pPr>
        <w:spacing w:after="0"/>
      </w:pPr>
    </w:p>
    <w:p w:rsidR="00531C6E" w:rsidRDefault="004C6EC1">
      <w:r>
        <w:t>Iznos na ovoj poziciji je uvećan u odnosu na prethodno razdoblje sukladno stvarnim potrebama za tekućim održavanjem zgrade i opreme.</w:t>
      </w:r>
    </w:p>
    <w:p w:rsidR="00531C6E" w:rsidRDefault="00531C6E"/>
    <w:p w:rsidR="00531C6E" w:rsidRDefault="004C6EC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3232</w:t>
            </w:r>
          </w:p>
        </w:tc>
        <w:tc>
          <w:tcPr>
            <w:tcW w:w="3180" w:type="dxa"/>
            <w:tcMar>
              <w:top w:w="0" w:type="dxa"/>
              <w:bottom w:w="0" w:type="dxa"/>
            </w:tcMar>
            <w:vAlign w:val="center"/>
          </w:tcPr>
          <w:p w:rsidR="00531C6E" w:rsidRDefault="004C6EC1">
            <w:pPr>
              <w:keepNext/>
              <w:keepLines/>
              <w:spacing w:after="0" w:line="240" w:lineRule="auto"/>
            </w:pPr>
            <w:r>
              <w:rPr>
                <w:sz w:val="18"/>
              </w:rPr>
              <w:t>Usluge tekućeg i investicijskog održavanja</w:t>
            </w:r>
          </w:p>
        </w:tc>
        <w:tc>
          <w:tcPr>
            <w:tcW w:w="700" w:type="dxa"/>
            <w:tcMar>
              <w:top w:w="0" w:type="dxa"/>
              <w:bottom w:w="0" w:type="dxa"/>
            </w:tcMar>
            <w:vAlign w:val="center"/>
          </w:tcPr>
          <w:p w:rsidR="00531C6E" w:rsidRDefault="004C6EC1">
            <w:pPr>
              <w:keepNext/>
              <w:keepLines/>
              <w:spacing w:after="0" w:line="240" w:lineRule="auto"/>
            </w:pPr>
            <w:r>
              <w:rPr>
                <w:sz w:val="18"/>
              </w:rPr>
              <w:t>3232</w:t>
            </w:r>
          </w:p>
        </w:tc>
        <w:tc>
          <w:tcPr>
            <w:tcW w:w="1860" w:type="dxa"/>
            <w:tcMar>
              <w:top w:w="0" w:type="dxa"/>
              <w:bottom w:w="0" w:type="dxa"/>
            </w:tcMar>
            <w:vAlign w:val="center"/>
          </w:tcPr>
          <w:p w:rsidR="00531C6E" w:rsidRDefault="004C6EC1">
            <w:pPr>
              <w:keepNext/>
              <w:keepLines/>
              <w:spacing w:after="0" w:line="240" w:lineRule="auto"/>
              <w:jc w:val="right"/>
            </w:pPr>
            <w:r>
              <w:rPr>
                <w:sz w:val="18"/>
              </w:rPr>
              <w:t>6.793,81</w:t>
            </w:r>
          </w:p>
        </w:tc>
        <w:tc>
          <w:tcPr>
            <w:tcW w:w="1860" w:type="dxa"/>
            <w:tcMar>
              <w:top w:w="0" w:type="dxa"/>
              <w:bottom w:w="0" w:type="dxa"/>
            </w:tcMar>
            <w:vAlign w:val="center"/>
          </w:tcPr>
          <w:p w:rsidR="00531C6E" w:rsidRDefault="004C6EC1">
            <w:pPr>
              <w:keepNext/>
              <w:keepLines/>
              <w:spacing w:after="0" w:line="240" w:lineRule="auto"/>
              <w:jc w:val="right"/>
            </w:pPr>
            <w:r>
              <w:rPr>
                <w:sz w:val="18"/>
              </w:rPr>
              <w:t>13.139,30</w:t>
            </w:r>
          </w:p>
        </w:tc>
        <w:tc>
          <w:tcPr>
            <w:tcW w:w="700" w:type="dxa"/>
            <w:tcMar>
              <w:top w:w="0" w:type="dxa"/>
              <w:bottom w:w="0" w:type="dxa"/>
            </w:tcMar>
            <w:vAlign w:val="center"/>
          </w:tcPr>
          <w:p w:rsidR="00531C6E" w:rsidRDefault="004C6EC1">
            <w:pPr>
              <w:keepNext/>
              <w:keepLines/>
              <w:spacing w:after="0" w:line="240" w:lineRule="auto"/>
              <w:jc w:val="right"/>
            </w:pPr>
            <w:r>
              <w:rPr>
                <w:sz w:val="18"/>
              </w:rPr>
              <w:t>193,4</w:t>
            </w:r>
          </w:p>
        </w:tc>
      </w:tr>
    </w:tbl>
    <w:p w:rsidR="00531C6E" w:rsidRDefault="00531C6E">
      <w:pPr>
        <w:spacing w:after="0"/>
      </w:pPr>
    </w:p>
    <w:p w:rsidR="00531C6E" w:rsidRDefault="004C6EC1">
      <w:r>
        <w:t>Iznos na ovoj poziciji je uvećan u odnosu na prethodno razdoblje sukladno stvarnim potrebama za tekućim održavanjem zgrade i opreme.</w:t>
      </w:r>
    </w:p>
    <w:p w:rsidR="00531C6E" w:rsidRDefault="00531C6E"/>
    <w:p w:rsidR="00531C6E" w:rsidRDefault="004C6EC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3234</w:t>
            </w:r>
          </w:p>
        </w:tc>
        <w:tc>
          <w:tcPr>
            <w:tcW w:w="3180" w:type="dxa"/>
            <w:tcMar>
              <w:top w:w="0" w:type="dxa"/>
              <w:bottom w:w="0" w:type="dxa"/>
            </w:tcMar>
            <w:vAlign w:val="center"/>
          </w:tcPr>
          <w:p w:rsidR="00531C6E" w:rsidRDefault="004C6EC1">
            <w:pPr>
              <w:keepNext/>
              <w:keepLines/>
              <w:spacing w:after="0" w:line="240" w:lineRule="auto"/>
            </w:pPr>
            <w:r>
              <w:rPr>
                <w:sz w:val="18"/>
              </w:rPr>
              <w:t>Komunalne usluge</w:t>
            </w:r>
          </w:p>
        </w:tc>
        <w:tc>
          <w:tcPr>
            <w:tcW w:w="700" w:type="dxa"/>
            <w:tcMar>
              <w:top w:w="0" w:type="dxa"/>
              <w:bottom w:w="0" w:type="dxa"/>
            </w:tcMar>
            <w:vAlign w:val="center"/>
          </w:tcPr>
          <w:p w:rsidR="00531C6E" w:rsidRDefault="004C6EC1">
            <w:pPr>
              <w:keepNext/>
              <w:keepLines/>
              <w:spacing w:after="0" w:line="240" w:lineRule="auto"/>
            </w:pPr>
            <w:r>
              <w:rPr>
                <w:sz w:val="18"/>
              </w:rPr>
              <w:t>3234</w:t>
            </w:r>
          </w:p>
        </w:tc>
        <w:tc>
          <w:tcPr>
            <w:tcW w:w="1860" w:type="dxa"/>
            <w:tcMar>
              <w:top w:w="0" w:type="dxa"/>
              <w:bottom w:w="0" w:type="dxa"/>
            </w:tcMar>
            <w:vAlign w:val="center"/>
          </w:tcPr>
          <w:p w:rsidR="00531C6E" w:rsidRDefault="004C6EC1">
            <w:pPr>
              <w:keepNext/>
              <w:keepLines/>
              <w:spacing w:after="0" w:line="240" w:lineRule="auto"/>
              <w:jc w:val="right"/>
            </w:pPr>
            <w:r>
              <w:rPr>
                <w:sz w:val="18"/>
              </w:rPr>
              <w:t>12.308,83</w:t>
            </w:r>
          </w:p>
        </w:tc>
        <w:tc>
          <w:tcPr>
            <w:tcW w:w="1860" w:type="dxa"/>
            <w:tcMar>
              <w:top w:w="0" w:type="dxa"/>
              <w:bottom w:w="0" w:type="dxa"/>
            </w:tcMar>
            <w:vAlign w:val="center"/>
          </w:tcPr>
          <w:p w:rsidR="00531C6E" w:rsidRDefault="004C6EC1">
            <w:pPr>
              <w:keepNext/>
              <w:keepLines/>
              <w:spacing w:after="0" w:line="240" w:lineRule="auto"/>
              <w:jc w:val="right"/>
            </w:pPr>
            <w:r>
              <w:rPr>
                <w:sz w:val="18"/>
              </w:rPr>
              <w:t>25.312,27</w:t>
            </w:r>
          </w:p>
        </w:tc>
        <w:tc>
          <w:tcPr>
            <w:tcW w:w="700" w:type="dxa"/>
            <w:tcMar>
              <w:top w:w="0" w:type="dxa"/>
              <w:bottom w:w="0" w:type="dxa"/>
            </w:tcMar>
            <w:vAlign w:val="center"/>
          </w:tcPr>
          <w:p w:rsidR="00531C6E" w:rsidRDefault="004C6EC1">
            <w:pPr>
              <w:keepNext/>
              <w:keepLines/>
              <w:spacing w:after="0" w:line="240" w:lineRule="auto"/>
              <w:jc w:val="right"/>
            </w:pPr>
            <w:r>
              <w:rPr>
                <w:sz w:val="18"/>
              </w:rPr>
              <w:t>205,6</w:t>
            </w:r>
          </w:p>
        </w:tc>
      </w:tr>
    </w:tbl>
    <w:p w:rsidR="00531C6E" w:rsidRDefault="00531C6E">
      <w:pPr>
        <w:spacing w:after="0"/>
      </w:pPr>
    </w:p>
    <w:p w:rsidR="00531C6E" w:rsidRDefault="004C6EC1">
      <w:r>
        <w:t>Iznos na ovoj poziciji je uvećan u odnosu na prethodnu godinu zbog plaćanja troškova arhiviranja sudske arhivske građe Državnom arhivu u Osijeku.</w:t>
      </w:r>
    </w:p>
    <w:p w:rsidR="00531C6E" w:rsidRDefault="00531C6E"/>
    <w:p w:rsidR="00531C6E" w:rsidRDefault="004C6EC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4C6EC1">
            <w:pPr>
              <w:keepNext/>
              <w:keepLines/>
              <w:spacing w:after="0" w:line="240" w:lineRule="auto"/>
            </w:pPr>
            <w:r>
              <w:rPr>
                <w:sz w:val="18"/>
              </w:rPr>
              <w:t>3295</w:t>
            </w:r>
          </w:p>
        </w:tc>
        <w:tc>
          <w:tcPr>
            <w:tcW w:w="3180" w:type="dxa"/>
            <w:tcMar>
              <w:top w:w="0" w:type="dxa"/>
              <w:bottom w:w="0" w:type="dxa"/>
            </w:tcMar>
            <w:vAlign w:val="center"/>
          </w:tcPr>
          <w:p w:rsidR="00531C6E" w:rsidRDefault="004C6EC1">
            <w:pPr>
              <w:keepNext/>
              <w:keepLines/>
              <w:spacing w:after="0" w:line="240" w:lineRule="auto"/>
            </w:pPr>
            <w:r>
              <w:rPr>
                <w:sz w:val="18"/>
              </w:rPr>
              <w:t>Pristojbe i naknade</w:t>
            </w:r>
          </w:p>
        </w:tc>
        <w:tc>
          <w:tcPr>
            <w:tcW w:w="700" w:type="dxa"/>
            <w:tcMar>
              <w:top w:w="0" w:type="dxa"/>
              <w:bottom w:w="0" w:type="dxa"/>
            </w:tcMar>
            <w:vAlign w:val="center"/>
          </w:tcPr>
          <w:p w:rsidR="00531C6E" w:rsidRDefault="004C6EC1">
            <w:pPr>
              <w:keepNext/>
              <w:keepLines/>
              <w:spacing w:after="0" w:line="240" w:lineRule="auto"/>
            </w:pPr>
            <w:r>
              <w:rPr>
                <w:sz w:val="18"/>
              </w:rPr>
              <w:t>3295</w:t>
            </w:r>
          </w:p>
        </w:tc>
        <w:tc>
          <w:tcPr>
            <w:tcW w:w="1860" w:type="dxa"/>
            <w:tcMar>
              <w:top w:w="0" w:type="dxa"/>
              <w:bottom w:w="0" w:type="dxa"/>
            </w:tcMar>
            <w:vAlign w:val="center"/>
          </w:tcPr>
          <w:p w:rsidR="00531C6E" w:rsidRDefault="004C6EC1">
            <w:pPr>
              <w:keepNext/>
              <w:keepLines/>
              <w:spacing w:after="0" w:line="240" w:lineRule="auto"/>
              <w:jc w:val="right"/>
            </w:pPr>
            <w:r>
              <w:rPr>
                <w:sz w:val="18"/>
              </w:rPr>
              <w:t>42,48</w:t>
            </w:r>
          </w:p>
        </w:tc>
        <w:tc>
          <w:tcPr>
            <w:tcW w:w="1860" w:type="dxa"/>
            <w:tcMar>
              <w:top w:w="0" w:type="dxa"/>
              <w:bottom w:w="0" w:type="dxa"/>
            </w:tcMar>
            <w:vAlign w:val="center"/>
          </w:tcPr>
          <w:p w:rsidR="00531C6E" w:rsidRDefault="004C6EC1">
            <w:pPr>
              <w:keepNext/>
              <w:keepLines/>
              <w:spacing w:after="0" w:line="240" w:lineRule="auto"/>
              <w:jc w:val="right"/>
            </w:pPr>
            <w:r>
              <w:rPr>
                <w:sz w:val="18"/>
              </w:rPr>
              <w:t>254,88</w:t>
            </w:r>
          </w:p>
        </w:tc>
        <w:tc>
          <w:tcPr>
            <w:tcW w:w="700" w:type="dxa"/>
            <w:tcMar>
              <w:top w:w="0" w:type="dxa"/>
              <w:bottom w:w="0" w:type="dxa"/>
            </w:tcMar>
            <w:vAlign w:val="center"/>
          </w:tcPr>
          <w:p w:rsidR="00531C6E" w:rsidRDefault="004C6EC1">
            <w:pPr>
              <w:keepNext/>
              <w:keepLines/>
              <w:spacing w:after="0" w:line="240" w:lineRule="auto"/>
              <w:jc w:val="right"/>
            </w:pPr>
            <w:r>
              <w:rPr>
                <w:sz w:val="18"/>
              </w:rPr>
              <w:t>600</w:t>
            </w:r>
          </w:p>
        </w:tc>
      </w:tr>
    </w:tbl>
    <w:p w:rsidR="00531C6E" w:rsidRDefault="00531C6E">
      <w:pPr>
        <w:spacing w:after="0"/>
      </w:pPr>
    </w:p>
    <w:p w:rsidR="00531C6E" w:rsidRDefault="004C6EC1">
      <w:r>
        <w:t>Iznos na ovoj poziciji je uvećan zbog toga što je donesena odluka da se na ovu poziciju knjiže pristojbe za HRT koje su se do listopada 2024.godine knjižile na drugi konto.</w:t>
      </w:r>
    </w:p>
    <w:p w:rsidR="00531C6E" w:rsidRDefault="00531C6E"/>
    <w:p w:rsidR="00531C6E" w:rsidRDefault="004C6EC1">
      <w:pPr>
        <w:keepNext/>
        <w:spacing w:line="240" w:lineRule="auto"/>
        <w:jc w:val="center"/>
      </w:pPr>
      <w:r>
        <w:rPr>
          <w:b/>
          <w:sz w:val="28"/>
        </w:rPr>
        <w:t>Izvještaj o obvezama</w:t>
      </w:r>
    </w:p>
    <w:p w:rsidR="00531C6E" w:rsidRDefault="004C6EC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31C6E">
        <w:tblPrEx>
          <w:tblCellMar>
            <w:top w:w="0" w:type="dxa"/>
            <w:bottom w:w="0" w:type="dxa"/>
          </w:tblCellMar>
        </w:tblPrEx>
        <w:trPr>
          <w:cantSplit/>
        </w:trPr>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31C6E" w:rsidRDefault="004C6EC1">
            <w:pPr>
              <w:keepNext/>
              <w:keepLines/>
              <w:spacing w:after="0" w:line="240" w:lineRule="auto"/>
              <w:jc w:val="center"/>
            </w:pPr>
            <w:r>
              <w:rPr>
                <w:b/>
                <w:sz w:val="18"/>
              </w:rPr>
              <w:t>Indek</w:t>
            </w:r>
            <w:r>
              <w:rPr>
                <w:b/>
                <w:sz w:val="18"/>
              </w:rPr>
              <w:t>s (%)</w:t>
            </w:r>
          </w:p>
        </w:tc>
      </w:tr>
      <w:tr w:rsidR="00531C6E">
        <w:tblPrEx>
          <w:tblCellMar>
            <w:top w:w="0" w:type="dxa"/>
            <w:bottom w:w="0" w:type="dxa"/>
          </w:tblCellMar>
        </w:tblPrEx>
        <w:trPr>
          <w:cantSplit/>
          <w:trHeight w:val="560"/>
        </w:trPr>
        <w:tc>
          <w:tcPr>
            <w:tcW w:w="700" w:type="dxa"/>
            <w:tcMar>
              <w:top w:w="0" w:type="dxa"/>
              <w:bottom w:w="0" w:type="dxa"/>
            </w:tcMar>
            <w:vAlign w:val="center"/>
          </w:tcPr>
          <w:p w:rsidR="00531C6E" w:rsidRDefault="00531C6E">
            <w:pPr>
              <w:keepNext/>
              <w:keepLines/>
              <w:spacing w:after="0" w:line="240" w:lineRule="auto"/>
            </w:pPr>
          </w:p>
        </w:tc>
        <w:tc>
          <w:tcPr>
            <w:tcW w:w="3180" w:type="dxa"/>
            <w:tcMar>
              <w:top w:w="0" w:type="dxa"/>
              <w:bottom w:w="0" w:type="dxa"/>
            </w:tcMar>
            <w:vAlign w:val="center"/>
          </w:tcPr>
          <w:p w:rsidR="00531C6E" w:rsidRDefault="004C6EC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31C6E" w:rsidRDefault="004C6EC1">
            <w:pPr>
              <w:keepNext/>
              <w:keepLines/>
              <w:spacing w:after="0" w:line="240" w:lineRule="auto"/>
            </w:pPr>
            <w:r>
              <w:rPr>
                <w:sz w:val="18"/>
              </w:rPr>
              <w:t>V007</w:t>
            </w:r>
          </w:p>
        </w:tc>
        <w:tc>
          <w:tcPr>
            <w:tcW w:w="1860" w:type="dxa"/>
            <w:tcMar>
              <w:top w:w="0" w:type="dxa"/>
              <w:bottom w:w="0" w:type="dxa"/>
            </w:tcMar>
            <w:vAlign w:val="center"/>
          </w:tcPr>
          <w:p w:rsidR="00531C6E" w:rsidRDefault="004C6EC1">
            <w:pPr>
              <w:keepNext/>
              <w:keepLines/>
              <w:spacing w:after="0" w:line="240" w:lineRule="auto"/>
              <w:jc w:val="right"/>
            </w:pPr>
            <w:r>
              <w:rPr>
                <w:sz w:val="18"/>
              </w:rPr>
              <w:t>0,00</w:t>
            </w:r>
          </w:p>
        </w:tc>
        <w:tc>
          <w:tcPr>
            <w:tcW w:w="700" w:type="dxa"/>
            <w:tcMar>
              <w:top w:w="0" w:type="dxa"/>
              <w:bottom w:w="0" w:type="dxa"/>
            </w:tcMar>
            <w:vAlign w:val="center"/>
          </w:tcPr>
          <w:p w:rsidR="00531C6E" w:rsidRDefault="004C6EC1">
            <w:pPr>
              <w:keepNext/>
              <w:keepLines/>
              <w:spacing w:after="0" w:line="240" w:lineRule="auto"/>
              <w:jc w:val="right"/>
            </w:pPr>
            <w:r>
              <w:rPr>
                <w:sz w:val="18"/>
              </w:rPr>
              <w:t>-</w:t>
            </w:r>
          </w:p>
        </w:tc>
      </w:tr>
    </w:tbl>
    <w:p w:rsidR="00531C6E" w:rsidRDefault="00531C6E">
      <w:pPr>
        <w:spacing w:after="0"/>
      </w:pPr>
    </w:p>
    <w:p w:rsidR="00531C6E" w:rsidRDefault="004C6EC1">
      <w:r>
        <w:t>Sa danom 31.12.2025.g. nema nedospjelih obveza.</w:t>
      </w:r>
    </w:p>
    <w:p w:rsidR="00531C6E" w:rsidRDefault="00531C6E"/>
    <w:sectPr w:rsidR="00531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6E"/>
    <w:rsid w:val="004C6EC1"/>
    <w:rsid w:val="00531C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3424</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Erhardt</dc:creator>
  <cp:lastModifiedBy>Diana Erhardt</cp:lastModifiedBy>
  <cp:revision>2</cp:revision>
  <dcterms:created xsi:type="dcterms:W3CDTF">2026-01-29T11:57:00Z</dcterms:created>
  <dcterms:modified xsi:type="dcterms:W3CDTF">2026-01-29T11:57:00Z</dcterms:modified>
</cp:coreProperties>
</file>