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FA" w:rsidRPr="006300FA" w:rsidRDefault="006300FA" w:rsidP="006300F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00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6300FA" w:rsidRPr="006300FA" w:rsidRDefault="006300FA" w:rsidP="006300F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00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OPĆINSKI SUD U PAZINU</w:t>
      </w:r>
    </w:p>
    <w:p w:rsidR="006300FA" w:rsidRDefault="00DF6482" w:rsidP="00DF64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Pazin, </w:t>
      </w:r>
      <w:r w:rsidR="00EF16C2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6300FA" w:rsidRPr="009102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300FA" w:rsidRPr="00630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6C2">
        <w:rPr>
          <w:rFonts w:ascii="Times New Roman" w:hAnsi="Times New Roman" w:cs="Times New Roman"/>
          <w:b/>
          <w:bCs/>
          <w:sz w:val="24"/>
          <w:szCs w:val="24"/>
        </w:rPr>
        <w:t>rujna</w:t>
      </w:r>
      <w:r w:rsidR="006300FA" w:rsidRPr="006300F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F16C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300FA" w:rsidRPr="006300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F6482" w:rsidRPr="006300FA" w:rsidRDefault="00EF16C2" w:rsidP="00DF64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 Su-228</w:t>
      </w:r>
      <w:r w:rsidR="00DF6482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6300FA" w:rsidRPr="006300FA" w:rsidRDefault="006300FA" w:rsidP="00630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00FA" w:rsidRPr="006300FA" w:rsidRDefault="006300FA" w:rsidP="00630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00FA">
        <w:rPr>
          <w:rFonts w:ascii="Times New Roman" w:hAnsi="Times New Roman" w:cs="Times New Roman"/>
          <w:b/>
          <w:bCs/>
          <w:sz w:val="24"/>
          <w:szCs w:val="24"/>
        </w:rPr>
        <w:t>Razdjel:</w:t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  <w:t>109</w:t>
      </w:r>
    </w:p>
    <w:p w:rsidR="006300FA" w:rsidRPr="006300FA" w:rsidRDefault="006300FA" w:rsidP="00630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00FA">
        <w:rPr>
          <w:rFonts w:ascii="Times New Roman" w:hAnsi="Times New Roman" w:cs="Times New Roman"/>
          <w:b/>
          <w:bCs/>
          <w:sz w:val="24"/>
          <w:szCs w:val="24"/>
        </w:rPr>
        <w:t>Glava:</w:t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80</w:t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300FA" w:rsidRPr="006300FA" w:rsidRDefault="006300FA" w:rsidP="00630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00FA">
        <w:rPr>
          <w:rFonts w:ascii="Times New Roman" w:hAnsi="Times New Roman" w:cs="Times New Roman"/>
          <w:b/>
          <w:bCs/>
          <w:sz w:val="24"/>
          <w:szCs w:val="24"/>
        </w:rPr>
        <w:t>Matični broj:  3089541</w:t>
      </w:r>
    </w:p>
    <w:p w:rsidR="006300FA" w:rsidRPr="006300FA" w:rsidRDefault="006300FA" w:rsidP="00630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00FA">
        <w:rPr>
          <w:rFonts w:ascii="Times New Roman" w:hAnsi="Times New Roman" w:cs="Times New Roman"/>
          <w:b/>
          <w:bCs/>
          <w:sz w:val="24"/>
          <w:szCs w:val="24"/>
        </w:rPr>
        <w:t>OIB:   27672461276</w:t>
      </w:r>
    </w:p>
    <w:p w:rsidR="006300FA" w:rsidRPr="006300FA" w:rsidRDefault="006300FA" w:rsidP="00630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00FA">
        <w:rPr>
          <w:rFonts w:ascii="Times New Roman" w:hAnsi="Times New Roman" w:cs="Times New Roman"/>
          <w:b/>
          <w:bCs/>
          <w:sz w:val="24"/>
          <w:szCs w:val="24"/>
        </w:rPr>
        <w:t>RKP:       50563</w:t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F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300FA" w:rsidRPr="006300FA" w:rsidRDefault="006300FA" w:rsidP="00630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00FA">
        <w:rPr>
          <w:rFonts w:ascii="Times New Roman" w:hAnsi="Times New Roman" w:cs="Times New Roman"/>
          <w:b/>
          <w:bCs/>
          <w:sz w:val="24"/>
          <w:szCs w:val="24"/>
        </w:rPr>
        <w:t>Šifarska oznaka:  8423</w:t>
      </w: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Default="00721BC6" w:rsidP="00721BC6">
      <w:pPr>
        <w:pStyle w:val="Standard"/>
        <w:jc w:val="center"/>
        <w:rPr>
          <w:rFonts w:ascii="Times New Roman" w:hAnsi="Times New Roman" w:cs="Times New Roman"/>
          <w:b/>
        </w:rPr>
      </w:pPr>
      <w:r w:rsidRPr="006300FA">
        <w:rPr>
          <w:rFonts w:ascii="Times New Roman" w:hAnsi="Times New Roman" w:cs="Times New Roman"/>
          <w:b/>
        </w:rPr>
        <w:t xml:space="preserve">OBRAZLOŽENJE </w:t>
      </w:r>
      <w:r w:rsidR="00E2172C" w:rsidRPr="006300FA">
        <w:rPr>
          <w:rFonts w:ascii="Times New Roman" w:hAnsi="Times New Roman" w:cs="Times New Roman"/>
          <w:b/>
        </w:rPr>
        <w:t>POSEBNOG</w:t>
      </w:r>
      <w:r w:rsidRPr="006300FA">
        <w:rPr>
          <w:rFonts w:ascii="Times New Roman" w:hAnsi="Times New Roman" w:cs="Times New Roman"/>
          <w:b/>
        </w:rPr>
        <w:t xml:space="preserve"> DIJELA FINANCIJSKOG PLANA</w:t>
      </w:r>
    </w:p>
    <w:p w:rsidR="006300FA" w:rsidRPr="006300FA" w:rsidRDefault="006300FA" w:rsidP="00721BC6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</w:t>
      </w:r>
      <w:r w:rsidR="00DF6482">
        <w:rPr>
          <w:rFonts w:ascii="Times New Roman" w:hAnsi="Times New Roman" w:cs="Times New Roman"/>
          <w:b/>
        </w:rPr>
        <w:t>202</w:t>
      </w:r>
      <w:r w:rsidR="00EF16C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.-202</w:t>
      </w:r>
      <w:r w:rsidR="00EF16C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 GODINU</w:t>
      </w: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Default="00721BC6" w:rsidP="00721BC6">
      <w:pPr>
        <w:pStyle w:val="Standard"/>
        <w:jc w:val="both"/>
        <w:rPr>
          <w:rFonts w:ascii="Times New Roman" w:hAnsi="Times New Roman" w:cs="Times New Roman"/>
        </w:rPr>
      </w:pPr>
      <w:r w:rsidRPr="00280FD1">
        <w:rPr>
          <w:rFonts w:ascii="Times New Roman" w:hAnsi="Times New Roman" w:cs="Times New Roman"/>
        </w:rPr>
        <w:tab/>
      </w:r>
    </w:p>
    <w:p w:rsidR="00EF16C2" w:rsidRDefault="00EF16C2" w:rsidP="00EF16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36 Zakona o proračunu (Narodne novine br. 144/21) proračunski i izvanproračunski korisnici dužni su uz prijedlog financijskog plana izraditi i dostaviti obrazloženje posebnog dijela financijskog plana, kojeg dostavljamo u nastavku.</w:t>
      </w:r>
    </w:p>
    <w:p w:rsidR="00EF16C2" w:rsidRDefault="00EF16C2" w:rsidP="00721BC6">
      <w:pPr>
        <w:pStyle w:val="Standard"/>
        <w:jc w:val="both"/>
        <w:rPr>
          <w:rFonts w:ascii="Times New Roman" w:hAnsi="Times New Roman" w:cs="Times New Roman"/>
        </w:rPr>
      </w:pPr>
    </w:p>
    <w:p w:rsidR="00EF16C2" w:rsidRPr="00280FD1" w:rsidRDefault="00EF16C2" w:rsidP="00721BC6">
      <w:pPr>
        <w:pStyle w:val="Standard"/>
        <w:jc w:val="both"/>
        <w:rPr>
          <w:rFonts w:ascii="Times New Roman" w:hAnsi="Times New Roman" w:cs="Times New Roman"/>
        </w:rPr>
      </w:pPr>
    </w:p>
    <w:p w:rsidR="00721BC6" w:rsidRPr="00325948" w:rsidRDefault="00DF6482" w:rsidP="006300FA">
      <w:pPr>
        <w:pStyle w:val="Standard"/>
        <w:ind w:firstLine="708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202</w:t>
      </w:r>
      <w:r w:rsidR="00EF16C2">
        <w:rPr>
          <w:rFonts w:ascii="Times New Roman" w:hAnsi="Times New Roman" w:cs="Times New Roman"/>
          <w:b/>
          <w:u w:val="single"/>
        </w:rPr>
        <w:t>6</w:t>
      </w:r>
      <w:r w:rsidR="00E2172C" w:rsidRPr="00325948">
        <w:rPr>
          <w:rFonts w:ascii="Times New Roman" w:hAnsi="Times New Roman" w:cs="Times New Roman"/>
          <w:b/>
          <w:u w:val="single"/>
        </w:rPr>
        <w:t>. GODINA</w:t>
      </w: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7B5C98" w:rsidRDefault="00E2172C" w:rsidP="006300FA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7B5C98">
        <w:rPr>
          <w:rFonts w:ascii="Times New Roman" w:hAnsi="Times New Roman" w:cs="Times New Roman"/>
          <w:b/>
        </w:rPr>
        <w:t>Plaće i doprinosi:</w:t>
      </w:r>
    </w:p>
    <w:p w:rsidR="00E2172C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290B7E" w:rsidRDefault="00EF16C2" w:rsidP="00CF1818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F6482" w:rsidRPr="00DF6482">
        <w:rPr>
          <w:rFonts w:ascii="Times New Roman" w:hAnsi="Times New Roman" w:cs="Times New Roman"/>
        </w:rPr>
        <w:t>laće i doprinosi za zdravstveno osiguranje planirani</w:t>
      </w:r>
      <w:r>
        <w:rPr>
          <w:rFonts w:ascii="Times New Roman" w:hAnsi="Times New Roman" w:cs="Times New Roman"/>
        </w:rPr>
        <w:t xml:space="preserve"> su</w:t>
      </w:r>
      <w:r w:rsidR="00DF6482" w:rsidRPr="00DF6482">
        <w:rPr>
          <w:rFonts w:ascii="Times New Roman" w:hAnsi="Times New Roman" w:cs="Times New Roman"/>
        </w:rPr>
        <w:t xml:space="preserve"> do visine postavljenih limita</w:t>
      </w:r>
      <w:r w:rsidR="00290B7E">
        <w:rPr>
          <w:rFonts w:ascii="Times New Roman" w:hAnsi="Times New Roman" w:cs="Times New Roman"/>
        </w:rPr>
        <w:t>, nakon što su se oduzela sredstva planirana za ostale rashode koji su nam poznati, te koje je moguće točnije planirati</w:t>
      </w:r>
      <w:r w:rsidR="00DF6482" w:rsidRPr="00DF6482">
        <w:rPr>
          <w:rFonts w:ascii="Times New Roman" w:hAnsi="Times New Roman" w:cs="Times New Roman"/>
        </w:rPr>
        <w:t>.</w:t>
      </w:r>
      <w:r w:rsidR="00124E8A">
        <w:rPr>
          <w:rFonts w:ascii="Times New Roman" w:hAnsi="Times New Roman" w:cs="Times New Roman"/>
        </w:rPr>
        <w:t xml:space="preserve"> Do kraja 2025. godine u planu je zapošljavanje </w:t>
      </w:r>
      <w:r w:rsidR="0008714A">
        <w:rPr>
          <w:rFonts w:ascii="Times New Roman" w:hAnsi="Times New Roman" w:cs="Times New Roman"/>
        </w:rPr>
        <w:t>8 administrativnih referenata sudskih zapisničara, 1 višeg zemljišnoknjižnog referenta i 1 višeg informatičkog tehničara,</w:t>
      </w:r>
      <w:r w:rsidR="00F3228B">
        <w:rPr>
          <w:rFonts w:ascii="Times New Roman" w:hAnsi="Times New Roman" w:cs="Times New Roman"/>
        </w:rPr>
        <w:t xml:space="preserve"> čije su plaće ukalkulirane u F</w:t>
      </w:r>
      <w:r w:rsidR="0008714A">
        <w:rPr>
          <w:rFonts w:ascii="Times New Roman" w:hAnsi="Times New Roman" w:cs="Times New Roman"/>
        </w:rPr>
        <w:t>inancijski plan za 2026</w:t>
      </w:r>
      <w:r w:rsidR="00F3228B">
        <w:rPr>
          <w:rFonts w:ascii="Times New Roman" w:hAnsi="Times New Roman" w:cs="Times New Roman"/>
        </w:rPr>
        <w:t>-2028.</w:t>
      </w:r>
      <w:r w:rsidR="00DF6482" w:rsidRPr="00DF64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0B7E" w:rsidRDefault="00290B7E" w:rsidP="00CF1818">
      <w:pPr>
        <w:pStyle w:val="Standard"/>
        <w:jc w:val="both"/>
        <w:rPr>
          <w:rFonts w:ascii="Times New Roman" w:hAnsi="Times New Roman" w:cs="Times New Roman"/>
        </w:rPr>
      </w:pPr>
    </w:p>
    <w:p w:rsidR="00290B7E" w:rsidRDefault="00DF6482" w:rsidP="00CF1818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F6482">
        <w:rPr>
          <w:rFonts w:ascii="Times New Roman" w:hAnsi="Times New Roman" w:cs="Times New Roman"/>
        </w:rPr>
        <w:t>Plaće za prekovremeni ra</w:t>
      </w:r>
      <w:r w:rsidR="00CF1818">
        <w:rPr>
          <w:rFonts w:ascii="Times New Roman" w:hAnsi="Times New Roman" w:cs="Times New Roman"/>
        </w:rPr>
        <w:t>d planirane su za rad zemljišno</w:t>
      </w:r>
      <w:r w:rsidRPr="00DF6482">
        <w:rPr>
          <w:rFonts w:ascii="Times New Roman" w:hAnsi="Times New Roman" w:cs="Times New Roman"/>
        </w:rPr>
        <w:t>knjižnih referenata na rješavanju ner</w:t>
      </w:r>
      <w:r w:rsidR="00290B7E">
        <w:rPr>
          <w:rFonts w:ascii="Times New Roman" w:hAnsi="Times New Roman" w:cs="Times New Roman"/>
        </w:rPr>
        <w:t>i</w:t>
      </w:r>
      <w:r w:rsidRPr="00DF6482">
        <w:rPr>
          <w:rFonts w:ascii="Times New Roman" w:hAnsi="Times New Roman" w:cs="Times New Roman"/>
        </w:rPr>
        <w:t>ješenih predmeta zbog povećanog priliva kao i za dežurstva prekršajnih i kaznenih sudaca i službenika.</w:t>
      </w:r>
      <w:r w:rsidR="00290B7E">
        <w:rPr>
          <w:rFonts w:ascii="Times New Roman" w:hAnsi="Times New Roman" w:cs="Times New Roman"/>
        </w:rPr>
        <w:t xml:space="preserve"> </w:t>
      </w:r>
    </w:p>
    <w:p w:rsidR="00290B7E" w:rsidRDefault="00290B7E" w:rsidP="00CF1818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:rsidR="00DF6482" w:rsidRPr="00DF6482" w:rsidRDefault="00290B7E" w:rsidP="00CF1818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Općinski sud u Pazi</w:t>
      </w:r>
      <w:r w:rsidR="00124E8A">
        <w:rPr>
          <w:rFonts w:ascii="Times New Roman" w:eastAsia="Times New Roman" w:hAnsi="Times New Roman" w:cs="Times New Roman"/>
          <w:lang w:eastAsia="hr-HR"/>
        </w:rPr>
        <w:t>nu trenutno zapošljava ukupno 146</w:t>
      </w:r>
      <w:r>
        <w:rPr>
          <w:rFonts w:ascii="Times New Roman" w:eastAsia="Times New Roman" w:hAnsi="Times New Roman" w:cs="Times New Roman"/>
          <w:lang w:eastAsia="hr-HR"/>
        </w:rPr>
        <w:t xml:space="preserve"> djelatnika od kojih 23</w:t>
      </w:r>
      <w:r w:rsidRPr="00E2172C">
        <w:rPr>
          <w:rFonts w:ascii="Times New Roman" w:eastAsia="Times New Roman" w:hAnsi="Times New Roman" w:cs="Times New Roman"/>
          <w:lang w:eastAsia="hr-HR"/>
        </w:rPr>
        <w:t xml:space="preserve"> dužnosnika, 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="00124E8A">
        <w:rPr>
          <w:rFonts w:ascii="Times New Roman" w:eastAsia="Times New Roman" w:hAnsi="Times New Roman" w:cs="Times New Roman"/>
          <w:lang w:eastAsia="hr-HR"/>
        </w:rPr>
        <w:t>06</w:t>
      </w:r>
      <w:r w:rsidRPr="00E2172C">
        <w:rPr>
          <w:rFonts w:ascii="Times New Roman" w:eastAsia="Times New Roman" w:hAnsi="Times New Roman" w:cs="Times New Roman"/>
          <w:lang w:eastAsia="hr-HR"/>
        </w:rPr>
        <w:t xml:space="preserve"> službenika</w:t>
      </w:r>
      <w:r>
        <w:rPr>
          <w:rFonts w:ascii="Times New Roman" w:eastAsia="Times New Roman" w:hAnsi="Times New Roman" w:cs="Times New Roman"/>
          <w:lang w:eastAsia="hr-HR"/>
        </w:rPr>
        <w:t xml:space="preserve"> i</w:t>
      </w:r>
      <w:r w:rsidRPr="00E2172C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17</w:t>
      </w:r>
      <w:r w:rsidRPr="00E2172C">
        <w:rPr>
          <w:rFonts w:ascii="Times New Roman" w:eastAsia="Times New Roman" w:hAnsi="Times New Roman" w:cs="Times New Roman"/>
          <w:lang w:eastAsia="hr-HR"/>
        </w:rPr>
        <w:t xml:space="preserve"> namještenika.</w:t>
      </w:r>
      <w:r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DF6482" w:rsidRPr="00DF6482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DF6482" w:rsidRPr="00280FD1" w:rsidRDefault="00DF6482" w:rsidP="00CF1818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351BA" w:rsidRDefault="009351BA" w:rsidP="00E21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2172C" w:rsidRPr="007B5C98" w:rsidRDefault="00E2172C" w:rsidP="00580351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7B5C98">
        <w:rPr>
          <w:rFonts w:ascii="Times New Roman" w:hAnsi="Times New Roman" w:cs="Times New Roman"/>
          <w:b/>
        </w:rPr>
        <w:t>Ostali rashodi za zaposlene, prava ostvarena temeljem Kolektivnog ugovora:</w:t>
      </w:r>
    </w:p>
    <w:p w:rsidR="00E2172C" w:rsidRPr="007B5C98" w:rsidRDefault="00E2172C" w:rsidP="00721BC6">
      <w:pPr>
        <w:pStyle w:val="Standard"/>
        <w:jc w:val="both"/>
        <w:rPr>
          <w:rFonts w:ascii="Times New Roman" w:hAnsi="Times New Roman" w:cs="Times New Roman"/>
          <w:b/>
        </w:rPr>
      </w:pPr>
    </w:p>
    <w:p w:rsidR="007B5C98" w:rsidRDefault="00580351" w:rsidP="00290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za ostale rashode za zaposlene, koji obuhvaćaju jubilarne nagrade, regres, božićnicu,</w:t>
      </w:r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uskrsnicu</w:t>
      </w:r>
      <w:proofErr w:type="spellEnd"/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dar za djecu, otpremnine, te razne potpore, u 202</w:t>
      </w:r>
      <w:r w:rsidR="000871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8E47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iznosi </w:t>
      </w:r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0871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871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76</w:t>
      </w:r>
      <w:r w:rsidR="008E47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Izračun za jubilarne nagrade rađen</w:t>
      </w:r>
      <w:r w:rsidR="00CF18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temelju stvarnih podatka o djelatnicima. Regres, božićnica</w:t>
      </w:r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uskrsnica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dar za djecu planirani na temelju stvarnog broja zaposlenih službenika i namještenika</w:t>
      </w:r>
      <w:r w:rsidR="00C11B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968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Planirano je</w:t>
      </w:r>
      <w:r w:rsidR="00C124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3968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pet potpora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svaku vrstu</w:t>
      </w:r>
      <w:r w:rsidR="00C11B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11B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pomoć u slučaju smrti, bolovanje duže od 90 dana</w:t>
      </w:r>
      <w:r w:rsidR="007B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B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rođenje djeteta. Otpremnine su planirane prema broju djelatnika koji ostvaruju pravo na punu mirovinu u narednom razdoblju.</w:t>
      </w:r>
    </w:p>
    <w:p w:rsidR="007B5C98" w:rsidRDefault="007B5C98" w:rsidP="0058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90B7E" w:rsidRDefault="00290B7E" w:rsidP="0058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2172C" w:rsidRPr="007B5C98" w:rsidRDefault="00E2172C" w:rsidP="007B5C98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7B5C98">
        <w:rPr>
          <w:rFonts w:ascii="Times New Roman" w:hAnsi="Times New Roman" w:cs="Times New Roman"/>
          <w:b/>
        </w:rPr>
        <w:t>Naknade za prijevoz za rad na terenu i odvojeni život: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E15DA" w:rsidRDefault="00FE15DA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za isplatu</w:t>
      </w:r>
      <w:r w:rsidR="00FB2698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naknade za prijevoz s posla i na posao</w:t>
      </w:r>
      <w:r w:rsidR="008E47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</w:t>
      </w:r>
      <w:r w:rsidR="000871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E47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iznosi 1</w:t>
      </w:r>
      <w:r w:rsidR="000871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</w:t>
      </w:r>
      <w:r w:rsidR="008E47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</w:t>
      </w:r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eura. Izračun</w:t>
      </w:r>
      <w:r w:rsidR="007B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14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7B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</w:t>
      </w:r>
      <w:r w:rsidR="00FB2698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vrš</w:t>
      </w:r>
      <w:r w:rsidR="007B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 prema stvarnom 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rošku do </w:t>
      </w:r>
      <w:r w:rsidR="000871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kolovoza</w:t>
      </w:r>
      <w:r w:rsidR="007B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0871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90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 temelju čega je izračunat utrošak za 12 mjeseci te uvećan za predviđene troškove novih zaposlenika. </w:t>
      </w:r>
      <w:r w:rsidR="002536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Napominje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zbog nemogućnosti korištenja mjesečne/godišnje karte naknada za prijevoz se isplaćuje prema broju prijeđenih kilometara. </w:t>
      </w:r>
    </w:p>
    <w:p w:rsidR="00FE15DA" w:rsidRDefault="00FE15DA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E15DA" w:rsidRDefault="00FE15DA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FE15DA" w:rsidRDefault="00FB2698" w:rsidP="00FE15DA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FE15DA">
        <w:rPr>
          <w:rFonts w:ascii="Times New Roman" w:hAnsi="Times New Roman" w:cs="Times New Roman"/>
          <w:b/>
        </w:rPr>
        <w:t xml:space="preserve">Materijalni rashodi: 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066F46" w:rsidRDefault="00FB2698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</w:t>
      </w:r>
      <w:r w:rsidR="006E63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 plana proračuna za 202</w:t>
      </w:r>
      <w:r w:rsidR="000871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C268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66F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rađen</w:t>
      </w:r>
      <w:r w:rsidR="00C124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</w:t>
      </w:r>
      <w:bookmarkStart w:id="0" w:name="_GoBack"/>
      <w:bookmarkEnd w:id="0"/>
      <w:r w:rsidR="00066F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visine postavljenih limita</w:t>
      </w:r>
      <w:r w:rsidR="00F32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C268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prema formuli </w:t>
      </w:r>
      <w:r w:rsidR="00C268D8"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(ukupni rashodi zaprimljeni do 3</w:t>
      </w:r>
      <w:r w:rsidR="00290B7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1</w:t>
      </w:r>
      <w:r w:rsidR="008E47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</w:t>
      </w:r>
      <w:r w:rsidR="000871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08</w:t>
      </w:r>
      <w:r w:rsidR="00C268D8"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.202</w:t>
      </w:r>
      <w:r w:rsidR="000871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5</w:t>
      </w:r>
      <w:r w:rsidR="00C268D8"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./</w:t>
      </w:r>
      <w:r w:rsidR="000871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8</w:t>
      </w:r>
      <w:r w:rsidR="00C268D8"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*12 mjeseci)</w:t>
      </w:r>
      <w:r w:rsidR="007B1FF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</w:t>
      </w:r>
      <w:r w:rsidR="00C268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</w:p>
    <w:p w:rsidR="002E6A65" w:rsidRPr="008724D4" w:rsidRDefault="007B1FFE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D</w:t>
      </w:r>
      <w:r w:rsidR="00C268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o odstupanja</w:t>
      </w:r>
      <w:r w:rsidR="00066F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skupine 32</w:t>
      </w:r>
      <w:r w:rsidR="00C268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u odnosu</w:t>
      </w:r>
      <w:r w:rsidR="00290B7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na projekciju </w:t>
      </w:r>
      <w:r w:rsidR="002E6A6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Financijskog plana iz svibnja 202</w:t>
      </w:r>
      <w:r w:rsidR="000871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5</w:t>
      </w:r>
      <w:r w:rsidR="002E6A6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. </w:t>
      </w:r>
      <w:r w:rsidR="006E63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dolazi na </w:t>
      </w:r>
      <w:r w:rsidR="00C268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kontima:</w:t>
      </w:r>
      <w:r w:rsidR="008724D4"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</w:t>
      </w:r>
      <w:r w:rsidR="00C268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</w:t>
      </w:r>
      <w:r w:rsidR="008724D4"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635B" w:rsidRDefault="008724D4" w:rsidP="00527B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*32</w:t>
      </w:r>
      <w:r w:rsidR="005C18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41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- </w:t>
      </w:r>
      <w:r w:rsidR="005C18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naknade troškova osobama izvan radnog odnosa- budući je uočen trend povećanja naknada putnih troškova svjedocima u kaznenim postupcima </w:t>
      </w:r>
      <w:r w:rsidR="002E6A6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 w:rsidR="006E0E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                           </w:t>
      </w:r>
    </w:p>
    <w:p w:rsidR="005C1829" w:rsidRDefault="008724D4" w:rsidP="005C18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*32</w:t>
      </w:r>
      <w:r w:rsidR="005C18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37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- </w:t>
      </w:r>
      <w:r w:rsidR="005C18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intelektualne i osobne usluge smanjene su do razine postavljenog limita na skupni 32 budući da iste nije moguće točno planirati</w:t>
      </w:r>
    </w:p>
    <w:p w:rsidR="00066F46" w:rsidRDefault="00066F46" w:rsidP="005C18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</w:p>
    <w:p w:rsidR="00066F46" w:rsidRDefault="00066F46" w:rsidP="00066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Skupina 34 rashodi za otplatu kamata po financijskim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leasinzima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iskazani su sukladno otplatnim planovima, te se ostatak sredstava do postavljenog limita rasporedio na bankarske usluge i usluge platnog prometa te zatezne kamate. </w:t>
      </w:r>
    </w:p>
    <w:p w:rsidR="00066F46" w:rsidRDefault="00066F46" w:rsidP="00066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66F46" w:rsidRDefault="00066F46" w:rsidP="00066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Rashodi skupine 42 planirana su do visine postavljenog limita te predstavljaju otplatu glavnice financijskih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službene automobile prema otplatnom planu te 1.000,00 eura za uredski namještaj, budući da se često dešava da dolazi do oštećenja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daktilostolica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koje predstavljaju osnovnu opremu za rad. </w:t>
      </w:r>
    </w:p>
    <w:p w:rsidR="008724D4" w:rsidRPr="008724D4" w:rsidRDefault="008724D4" w:rsidP="00C268D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BF7CAF" w:rsidRDefault="00FB2698" w:rsidP="00BF7CAF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BF7CAF">
        <w:rPr>
          <w:rFonts w:ascii="Times New Roman" w:hAnsi="Times New Roman" w:cs="Times New Roman"/>
          <w:b/>
        </w:rPr>
        <w:t xml:space="preserve">Tekuće održavanje: 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DD2CB7" w:rsidRDefault="00BF7CAF" w:rsidP="00B224EF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FB2698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ashodi za usluge tekućeg i investicijskog održavanja</w:t>
      </w:r>
      <w:r w:rsidR="00B224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</w:t>
      </w:r>
      <w:r w:rsidR="002E6A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irana su u iznosu od 4</w:t>
      </w:r>
      <w:r w:rsidR="00B224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839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B224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r w:rsidR="002E6A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obuhvaćaju </w:t>
      </w:r>
      <w:r w:rsidRPr="00BF7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redovan godišnji servi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klima uređaja u svim zgradama,</w:t>
      </w:r>
      <w:r w:rsidRPr="00BF7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redovni servis kotlovnica u zgradama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Pazinu, Labinu, Poreču i Buzetu, manje</w:t>
      </w:r>
      <w:r w:rsidRPr="00BF7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sitn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BF7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poprav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</w:t>
      </w:r>
      <w:r w:rsidR="00B224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vodovodnih i elektro</w:t>
      </w:r>
      <w:r w:rsidRPr="00BF7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instalacija, godišnji servisi službenih vozila</w:t>
      </w:r>
      <w:r w:rsidR="009F10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ostale zahvate potrebne kako bi se osigurao kontinuirani rad suda</w:t>
      </w:r>
      <w:r w:rsidR="00B224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posluje na 7 lokacija</w:t>
      </w:r>
      <w:r w:rsidR="009F10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DD2CB7" w:rsidRDefault="00DD2CB7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DD2CB7" w:rsidRPr="00280FD1" w:rsidRDefault="00DD2CB7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B2698" w:rsidRPr="009F10E1" w:rsidRDefault="00FB2698" w:rsidP="009F10E1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9F10E1">
        <w:rPr>
          <w:rFonts w:ascii="Times New Roman" w:hAnsi="Times New Roman" w:cs="Times New Roman"/>
          <w:b/>
        </w:rPr>
        <w:t xml:space="preserve">Kapitalno održavanje: 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E83978" w:rsidRDefault="00E83978" w:rsidP="00E8397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Rashodi skupine 45 planirani su do visine postavljenih limita te se planiraju utrošiti na </w:t>
      </w:r>
      <w:r w:rsidRPr="00340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sanacij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340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zidova i podova uništenih vlagom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Stalnoj službi u Bujama-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Buie</w:t>
      </w:r>
      <w:proofErr w:type="spellEnd"/>
      <w:r w:rsidRPr="00340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fasadu</w:t>
      </w:r>
      <w:r w:rsidRPr="00340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zgradi sjedišta suda koja nije obnavljanja proteklih 30 godina, procijenjena 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ijednost investicija 165.000,00 eura.</w:t>
      </w:r>
      <w:r w:rsidRPr="00340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</w:p>
    <w:p w:rsidR="00E83978" w:rsidRDefault="00E83978" w:rsidP="001B01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A845E9" w:rsidRDefault="00FB2698" w:rsidP="00A84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 xml:space="preserve">Vlastiti prihodi: </w:t>
      </w:r>
    </w:p>
    <w:p w:rsidR="00FB2698" w:rsidRPr="00280FD1" w:rsidRDefault="00FB2698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Default="00FB2698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sa </w:t>
      </w:r>
      <w:r w:rsidR="00980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čl. 54 Zakona o proračunu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vlastiti prihodi ostvaruju se od</w:t>
      </w:r>
      <w:r w:rsid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usluga kopiranja sudskih akata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23E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Vrijednost</w:t>
      </w:r>
      <w:r w:rsidR="00F305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</w:t>
      </w:r>
      <w:r w:rsidR="00323E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23E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prihoda se procjenjuje u iznosu od </w:t>
      </w:r>
      <w:r w:rsid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200</w:t>
      </w:r>
      <w:r w:rsidR="00AC1E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AC1E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 w:rsidR="00F305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FB2698" w:rsidRDefault="00FB2698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280FD1" w:rsidRDefault="00FB2698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325948" w:rsidRDefault="00280FD1" w:rsidP="00A845E9">
      <w:pPr>
        <w:pStyle w:val="Standard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325948">
        <w:rPr>
          <w:rFonts w:ascii="Times New Roman" w:hAnsi="Times New Roman" w:cs="Times New Roman"/>
          <w:b/>
          <w:u w:val="single"/>
        </w:rPr>
        <w:t>202</w:t>
      </w:r>
      <w:r w:rsidR="00E83978">
        <w:rPr>
          <w:rFonts w:ascii="Times New Roman" w:hAnsi="Times New Roman" w:cs="Times New Roman"/>
          <w:b/>
          <w:u w:val="single"/>
        </w:rPr>
        <w:t>7</w:t>
      </w:r>
      <w:r w:rsidRPr="00325948">
        <w:rPr>
          <w:rFonts w:ascii="Times New Roman" w:hAnsi="Times New Roman" w:cs="Times New Roman"/>
          <w:b/>
          <w:u w:val="single"/>
        </w:rPr>
        <w:t>. GODINA</w:t>
      </w:r>
    </w:p>
    <w:p w:rsidR="00280FD1" w:rsidRDefault="00280FD1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D9051B" w:rsidRPr="00280FD1" w:rsidRDefault="00D9051B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280FD1" w:rsidRPr="00A845E9" w:rsidRDefault="00280FD1" w:rsidP="00A845E9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A845E9">
        <w:rPr>
          <w:rFonts w:ascii="Times New Roman" w:hAnsi="Times New Roman" w:cs="Times New Roman"/>
          <w:b/>
        </w:rPr>
        <w:t>Plaće i doprinosi:</w:t>
      </w:r>
    </w:p>
    <w:p w:rsidR="00280FD1" w:rsidRPr="00280FD1" w:rsidRDefault="00280FD1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DD2CB7" w:rsidRDefault="004C63FB" w:rsidP="00213E4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Rashodi za zaposlene </w:t>
      </w:r>
      <w:r w:rsidR="00213E48" w:rsidRP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</w:t>
      </w:r>
      <w:r w:rsid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 visine postavljenog limita koji iznosi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10.000</w:t>
      </w:r>
      <w:r w:rsid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eura</w:t>
      </w:r>
      <w:r w:rsidR="006E5963" w:rsidRPr="006E5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E5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povećanje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6E5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208333333% u odnosu na 2026 godinu</w:t>
      </w:r>
      <w:r w:rsid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Nadalje, p</w:t>
      </w:r>
      <w:r w:rsidR="00213E48" w:rsidRP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laće za prekovremeni rad planirane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razini 2026. godine, budući se ne očekuju veća odstupanja u prilivu novih predmeta u odnosu na prethodna razdoblja.</w:t>
      </w:r>
      <w:r w:rsidR="00213E48" w:rsidRP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A845E9" w:rsidRDefault="00A845E9" w:rsidP="00A84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</w:t>
      </w:r>
    </w:p>
    <w:p w:rsidR="00280FD1" w:rsidRPr="00DD2CB7" w:rsidRDefault="00280FD1" w:rsidP="00DD2CB7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DD2CB7">
        <w:rPr>
          <w:rFonts w:ascii="Times New Roman" w:hAnsi="Times New Roman" w:cs="Times New Roman"/>
          <w:b/>
        </w:rPr>
        <w:t>Ostali rashodi za zaposlene, prava ostvarena temeljem Kolektivnog ugovora:</w:t>
      </w:r>
    </w:p>
    <w:p w:rsid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7363" w:rsidRPr="00280FD1" w:rsidRDefault="00213E48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Izračun o</w:t>
      </w:r>
      <w:r w:rsidR="004D7363"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="004D7363"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rashoda</w:t>
      </w:r>
      <w:r w:rsidR="004D7363"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zaposlene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rađen prema </w:t>
      </w:r>
      <w:r w:rsid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stvarnim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podacima o trenutnim zaposlenicima i</w:t>
      </w:r>
      <w:r w:rsidR="004D7363"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procjenama kao i za 202</w:t>
      </w:r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4D7363"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153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7363"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D7363" w:rsidRDefault="004D7363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7363" w:rsidRPr="00280FD1" w:rsidRDefault="004D7363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DD2CB7" w:rsidRDefault="00280FD1" w:rsidP="00DD2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Naknade za prijevoz za rad na terenu i odvojeni život: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E41FF9" w:rsidRDefault="00CB53A4" w:rsidP="00E4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Naknade za prijevoz za rad na terenu i odvojeni život planirane na razini za 202</w:t>
      </w:r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budući da nam nisu poznata buduća kretanja naknade za prijevoz prema broju prijeđenih kilometara. </w:t>
      </w:r>
    </w:p>
    <w:p w:rsidR="00E6443F" w:rsidRDefault="00E6443F" w:rsidP="00E644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DD2CB7" w:rsidRDefault="00280FD1" w:rsidP="00DD2CB7">
      <w:pPr>
        <w:pStyle w:val="Standard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hr-HR" w:bidi="ar-SA"/>
        </w:rPr>
      </w:pPr>
      <w:r w:rsidRPr="00DD2CB7">
        <w:rPr>
          <w:rFonts w:ascii="Times New Roman" w:eastAsia="Times New Roman" w:hAnsi="Times New Roman" w:cs="Times New Roman"/>
          <w:b/>
          <w:kern w:val="0"/>
          <w:lang w:eastAsia="hr-HR" w:bidi="ar-SA"/>
        </w:rPr>
        <w:t xml:space="preserve">Materijalni rashodi: </w:t>
      </w:r>
    </w:p>
    <w:p w:rsidR="00280FD1" w:rsidRPr="00280FD1" w:rsidRDefault="00280FD1" w:rsidP="00721BC6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hr-HR" w:bidi="ar-SA"/>
        </w:rPr>
      </w:pPr>
    </w:p>
    <w:p w:rsidR="00CB53A4" w:rsidRDefault="00280FD1" w:rsidP="00F30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Materijalni rashodi</w:t>
      </w:r>
      <w:r w:rsidR="005859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skupini 32</w:t>
      </w:r>
      <w:r w:rsidR="00DD2CB7" w:rsidRPr="00DD2CB7">
        <w:t xml:space="preserve"> 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planirani</w:t>
      </w:r>
      <w:r w:rsidR="00340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 uvećanje od </w:t>
      </w:r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980645161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% u odnosu na 202</w:t>
      </w:r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koliko iznosi i postavljeni limit, jedino su zdravstvene usluge planirane realno prema broju zaposlenika koji će imati pravo na sistemat</w:t>
      </w:r>
      <w:r w:rsid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 pregled</w:t>
      </w:r>
      <w:r w:rsidR="005859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CB53A4" w:rsidRDefault="00CB53A4" w:rsidP="00F30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53553" w:rsidRDefault="00CB53A4" w:rsidP="00A53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Skupina 34 rashodi za otplatu kamata </w:t>
      </w:r>
      <w:r w:rsidR="00132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financijskim </w:t>
      </w:r>
      <w:proofErr w:type="spellStart"/>
      <w:r w:rsidR="00132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iskazani su </w:t>
      </w:r>
      <w:r w:rsidR="00340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otplatnim planovima, te se ostatak sredstava do postavljenog limita rasporedio</w:t>
      </w:r>
      <w:r w:rsidR="00F32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="00340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bankarske usluge i usluge platnog prometa te zatezne kamate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A53553" w:rsidRDefault="00A53553" w:rsidP="00A53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53553" w:rsidRDefault="00A53553" w:rsidP="00A53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Rashodi skupine 42 </w:t>
      </w:r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predstavljaju otplatu glavnice financijskih </w:t>
      </w:r>
      <w:proofErr w:type="spellStart"/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leasinga</w:t>
      </w:r>
      <w:proofErr w:type="spellEnd"/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službene automobile prema otplatnom planu te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ostatak planiran </w:t>
      </w:r>
      <w:r w:rsidR="00E41F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uredski namještaj</w:t>
      </w:r>
      <w:r w:rsidR="00F32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i u 2026. godini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B53A4" w:rsidRDefault="00CB53A4" w:rsidP="00F30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2CB7" w:rsidRDefault="00DD2CB7" w:rsidP="00F30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Default="00280FD1" w:rsidP="0032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5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Kapitalno održavanje: </w:t>
      </w:r>
    </w:p>
    <w:p w:rsidR="00813353" w:rsidRDefault="00813353" w:rsidP="0032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13353" w:rsidRDefault="00813353" w:rsidP="008133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Rashodi skupine 45 planirani su do visine postavljenih limita te se planiraju utrošiti na f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zgrad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Stalne službe u Poreču procijenjena vrijednost investicije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100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.000,00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eura i 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s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oboslikarski radovi u zgradama sjedišta suda,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talne službe u Labinu i Poreču 12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5.000,00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</w:t>
      </w:r>
    </w:p>
    <w:p w:rsidR="00813353" w:rsidRPr="00325948" w:rsidRDefault="00813353" w:rsidP="0032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22CAC" w:rsidRDefault="00D22CAC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D9051B" w:rsidRPr="00280FD1" w:rsidRDefault="00D9051B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325948" w:rsidRDefault="00280FD1" w:rsidP="0032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5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Vlastiti prihodi: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82218" w:rsidRDefault="00382218" w:rsidP="00382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očekivati je ukupne</w:t>
      </w:r>
      <w:r w:rsidR="003259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vlastite</w:t>
      </w:r>
      <w:r w:rsidR="00F15B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prihode u iznosu od </w:t>
      </w:r>
      <w:r w:rsidR="003259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C1E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6E5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AC1E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259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AC1E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E5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6E5963" w:rsidRDefault="006E5963" w:rsidP="00382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5963" w:rsidRDefault="006E5963" w:rsidP="00382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5963" w:rsidRPr="006E5963" w:rsidRDefault="006E5963" w:rsidP="00382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E5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Ostali prihodi za posebne namjere</w:t>
      </w:r>
    </w:p>
    <w:p w:rsidR="00280FD1" w:rsidRPr="006E5963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80FD1" w:rsidRDefault="006E5963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U 202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planira se ostvarivanje ostalih prihoda 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posebne namjene u iznosu od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00,00 eura koji predstavljaju prihode od pasivnih kamata po poslovnim računima.  </w:t>
      </w:r>
    </w:p>
    <w:p w:rsidR="006E5963" w:rsidRPr="00280FD1" w:rsidRDefault="006E5963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32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280F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202</w:t>
      </w:r>
      <w:r w:rsidR="008133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8</w:t>
      </w:r>
      <w:r w:rsidRPr="00280F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. GODINA</w:t>
      </w:r>
    </w:p>
    <w:p w:rsid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6E5963" w:rsidRPr="00A845E9" w:rsidRDefault="006E5963" w:rsidP="006E5963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A845E9">
        <w:rPr>
          <w:rFonts w:ascii="Times New Roman" w:hAnsi="Times New Roman" w:cs="Times New Roman"/>
          <w:b/>
        </w:rPr>
        <w:t>Plaće i doprinosi:</w:t>
      </w:r>
    </w:p>
    <w:p w:rsidR="006E5963" w:rsidRPr="00280FD1" w:rsidRDefault="006E5963" w:rsidP="006E596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813353" w:rsidRDefault="006E5963" w:rsidP="0081335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Rashodi za zaposlene </w:t>
      </w:r>
      <w:r w:rsidR="00813353" w:rsidRP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 su do visine postavljenog limita koji iznosi 4.830.000,00 eura</w:t>
      </w:r>
      <w:r w:rsidR="00813353" w:rsidRPr="006E59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 povećanje od 0,415800415% u odnosu na 2027 godinu. Nadalje, p</w:t>
      </w:r>
      <w:r w:rsidR="00813353" w:rsidRP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laće za prekovremeni rad planirane su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razini 2026. i 2027. godine, budući se ne očekuju veća odstupanja u prilivu novih predmeta u odnosu na prethodna razdoblja.</w:t>
      </w:r>
      <w:r w:rsidR="00813353" w:rsidRPr="00213E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585917" w:rsidRDefault="00585917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</w:t>
      </w:r>
    </w:p>
    <w:p w:rsidR="00585917" w:rsidRPr="00280FD1" w:rsidRDefault="00585917" w:rsidP="00527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85917" w:rsidRPr="00DD2CB7" w:rsidRDefault="00585917" w:rsidP="00527BBB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DD2CB7">
        <w:rPr>
          <w:rFonts w:ascii="Times New Roman" w:hAnsi="Times New Roman" w:cs="Times New Roman"/>
          <w:b/>
        </w:rPr>
        <w:t>Ostali rashodi za zaposlene, prava ostvarena temeljem Kolektivnog ugovora:</w:t>
      </w:r>
    </w:p>
    <w:p w:rsidR="00585917" w:rsidRDefault="00585917" w:rsidP="00527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5963" w:rsidRPr="00280FD1" w:rsidRDefault="006E5963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Izračun o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rashoda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zaposlene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rađen prema stvarnim podacima o trenutnim zaposlenicima i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procjenama kao i za 202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i 202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6E5963" w:rsidRDefault="006E5963" w:rsidP="00527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051B" w:rsidRPr="00280FD1" w:rsidRDefault="00D9051B" w:rsidP="00527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4D7363" w:rsidRDefault="00280FD1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Naknade za prijevoz za rad na terenu i odvojeni život: </w:t>
      </w:r>
    </w:p>
    <w:p w:rsidR="00280FD1" w:rsidRPr="00280FD1" w:rsidRDefault="00280FD1" w:rsidP="00527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13353" w:rsidRDefault="00813353" w:rsidP="00813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Naknade za prijevoz za rad na terenu i odvojeni život planirane na razini za 2026. i 2027. budući da nam nisu poznata buduća kretanja naknade za prijevoz prema broju prijeđenih kilometara. </w:t>
      </w:r>
    </w:p>
    <w:p w:rsidR="00585917" w:rsidRPr="00280FD1" w:rsidRDefault="00585917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Default="00280FD1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Materijalni rashodi: </w:t>
      </w:r>
    </w:p>
    <w:p w:rsidR="00585917" w:rsidRPr="004D7363" w:rsidRDefault="00585917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A53553" w:rsidRDefault="00A53553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Materijalni rashodi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skupini 32</w:t>
      </w:r>
      <w:r w:rsidRPr="00DD2CB7">
        <w:t xml:space="preserve"> </w:t>
      </w:r>
      <w:r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</w:t>
      </w:r>
      <w:r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 uvećanje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887994316</w:t>
      </w:r>
      <w:r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% u odnosu na 202</w:t>
      </w:r>
      <w:r w:rsidR="008133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koliko iznosi i postavljeni limit, jedino su zdravstvene usluge planirane realno prema broju zaposlenika koji će imati pravo na sistemat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 pregled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A53553" w:rsidRDefault="00A53553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53553" w:rsidRDefault="00A53553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Skupina 34 rashodi za otplatu kamata po financijskim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leasinzima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iskazani su sukladno otplatnim planovima, te se ostatak sredstava do postavljenog limita rasporedio na bankarske usluge i usluge platnog prometa te zatezne kamate. </w:t>
      </w:r>
    </w:p>
    <w:p w:rsidR="00A53553" w:rsidRDefault="00A53553" w:rsidP="0052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53553" w:rsidRDefault="00A53553" w:rsidP="00A53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Rashodi skupine 42 planirana su do visine postavljenog limita odnosno uz smanjenje od </w:t>
      </w:r>
      <w:r w:rsidR="00237C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37C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111111111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% u odnosu na 202</w:t>
      </w:r>
      <w:r w:rsidR="00237C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budući </w:t>
      </w:r>
      <w:r w:rsidR="00527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2027. ističe Ugovor po jednom financijskom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A53553" w:rsidRDefault="00A53553" w:rsidP="00A53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37C14" w:rsidRDefault="00237C14" w:rsidP="004D73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4D7363" w:rsidRDefault="00280FD1" w:rsidP="004D73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br/>
      </w:r>
      <w:r w:rsidRPr="004D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Kapitalno održavanje: </w:t>
      </w:r>
    </w:p>
    <w:p w:rsidR="00D9001D" w:rsidRDefault="00D9001D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A53553" w:rsidRPr="00280FD1" w:rsidRDefault="00A53553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Rashodi skupine 45 planirani su do visine postavljenih limita te se planiraju utrošiti na f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zgrad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Stalne službe u </w:t>
      </w:r>
      <w:r w:rsidR="00237C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Labinu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proci</w:t>
      </w:r>
      <w:r w:rsidR="00237C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jenjena vrijednost investicije 100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.000,00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eura,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bnova sanitarnih čvorova u zgradi 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alne službe u Labinu </w:t>
      </w:r>
      <w:r w:rsidR="00237C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0.000,00 eura</w:t>
      </w:r>
      <w:r w:rsidR="00237C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rekonstrukcija kotlovnice u zgradi Zemljišno knjižnog odjela u Buzetu procjena vrijednosti investicije 20.000,00 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z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drvene stolarije na zgradi Zemljišno knjižnog odjela u Buzetu procije</w:t>
      </w:r>
      <w:r w:rsidR="00237C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njena vrijednosti investicije 35</w:t>
      </w:r>
      <w:r w:rsidRPr="00A5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.000,00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eura.</w:t>
      </w:r>
    </w:p>
    <w:p w:rsidR="00D9001D" w:rsidRDefault="00D9001D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C9656E" w:rsidRDefault="00C9656E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280FD1" w:rsidRPr="008153DF" w:rsidRDefault="00280FD1" w:rsidP="0081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153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Vlastiti prihodi: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87B23" w:rsidRDefault="00F87B23" w:rsidP="00F87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očekivati je ukupne v</w:t>
      </w:r>
      <w:r w:rsidR="008A28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lastite prihode u iznosu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</w:t>
      </w:r>
      <w:r w:rsidR="00F32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00,00 eura. </w:t>
      </w:r>
    </w:p>
    <w:p w:rsidR="00F87B23" w:rsidRDefault="00F87B23" w:rsidP="00F87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87B23" w:rsidRDefault="00F87B23" w:rsidP="00F87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87B23" w:rsidRPr="006E5963" w:rsidRDefault="00F87B23" w:rsidP="00F87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E5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Ostali prihodi za posebne namjere</w:t>
      </w:r>
    </w:p>
    <w:p w:rsidR="00F87B23" w:rsidRPr="006E5963" w:rsidRDefault="00F87B23" w:rsidP="00F87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87B23" w:rsidRDefault="00F87B23" w:rsidP="00F87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U 202</w:t>
      </w:r>
      <w:r w:rsidR="00F32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planira se ostvarivanje ostalih prihoda </w:t>
      </w:r>
      <w:r w:rsidR="00F322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posebne namjene u iznosu od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00,00 eura koji predstavljaju prihode od pasivnih kamata po poslovnim računima. 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5C5396">
      <w:pPr>
        <w:pStyle w:val="Standard"/>
        <w:jc w:val="right"/>
        <w:rPr>
          <w:rFonts w:ascii="Times New Roman" w:eastAsia="Times New Roman" w:hAnsi="Times New Roman" w:cs="Times New Roman"/>
          <w:kern w:val="0"/>
          <w:lang w:eastAsia="hr-HR" w:bidi="ar-SA"/>
        </w:rPr>
      </w:pPr>
    </w:p>
    <w:sectPr w:rsidR="00280FD1" w:rsidRPr="00280FD1" w:rsidSect="00721BC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9F" w:rsidRDefault="00D8649F" w:rsidP="00721BC6">
      <w:pPr>
        <w:spacing w:after="0" w:line="240" w:lineRule="auto"/>
      </w:pPr>
      <w:r>
        <w:separator/>
      </w:r>
    </w:p>
  </w:endnote>
  <w:endnote w:type="continuationSeparator" w:id="0">
    <w:p w:rsidR="00D8649F" w:rsidRDefault="00D8649F" w:rsidP="0072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9F" w:rsidRDefault="00D8649F" w:rsidP="00721BC6">
      <w:pPr>
        <w:spacing w:after="0" w:line="240" w:lineRule="auto"/>
      </w:pPr>
      <w:r>
        <w:separator/>
      </w:r>
    </w:p>
  </w:footnote>
  <w:footnote w:type="continuationSeparator" w:id="0">
    <w:p w:rsidR="00D8649F" w:rsidRDefault="00D8649F" w:rsidP="0072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824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05F1" w:rsidRPr="00F305F1" w:rsidRDefault="00F305F1">
        <w:pPr>
          <w:pStyle w:val="Zaglavlje"/>
          <w:jc w:val="center"/>
          <w:rPr>
            <w:rFonts w:ascii="Times New Roman" w:hAnsi="Times New Roman" w:cs="Times New Roman"/>
          </w:rPr>
        </w:pPr>
        <w:r w:rsidRPr="00F305F1">
          <w:rPr>
            <w:rFonts w:ascii="Times New Roman" w:hAnsi="Times New Roman" w:cs="Times New Roman"/>
          </w:rPr>
          <w:fldChar w:fldCharType="begin"/>
        </w:r>
        <w:r w:rsidRPr="00F305F1">
          <w:rPr>
            <w:rFonts w:ascii="Times New Roman" w:hAnsi="Times New Roman" w:cs="Times New Roman"/>
          </w:rPr>
          <w:instrText>PAGE   \* MERGEFORMAT</w:instrText>
        </w:r>
        <w:r w:rsidRPr="00F305F1">
          <w:rPr>
            <w:rFonts w:ascii="Times New Roman" w:hAnsi="Times New Roman" w:cs="Times New Roman"/>
          </w:rPr>
          <w:fldChar w:fldCharType="separate"/>
        </w:r>
        <w:r w:rsidR="00C12480">
          <w:rPr>
            <w:rFonts w:ascii="Times New Roman" w:hAnsi="Times New Roman" w:cs="Times New Roman"/>
            <w:noProof/>
          </w:rPr>
          <w:t>5</w:t>
        </w:r>
        <w:r w:rsidRPr="00F305F1">
          <w:rPr>
            <w:rFonts w:ascii="Times New Roman" w:hAnsi="Times New Roman" w:cs="Times New Roman"/>
          </w:rPr>
          <w:fldChar w:fldCharType="end"/>
        </w:r>
      </w:p>
    </w:sdtContent>
  </w:sdt>
  <w:p w:rsidR="00721BC6" w:rsidRDefault="00721BC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2EE7"/>
    <w:multiLevelType w:val="hybridMultilevel"/>
    <w:tmpl w:val="EFBA6356"/>
    <w:lvl w:ilvl="0" w:tplc="DAFEE5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11D"/>
    <w:multiLevelType w:val="hybridMultilevel"/>
    <w:tmpl w:val="E308657E"/>
    <w:lvl w:ilvl="0" w:tplc="09EE6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32F2"/>
    <w:multiLevelType w:val="hybridMultilevel"/>
    <w:tmpl w:val="83C82BF2"/>
    <w:lvl w:ilvl="0" w:tplc="D1E4A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14233"/>
    <w:multiLevelType w:val="hybridMultilevel"/>
    <w:tmpl w:val="A73AC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56A46"/>
    <w:multiLevelType w:val="hybridMultilevel"/>
    <w:tmpl w:val="8D440E22"/>
    <w:lvl w:ilvl="0" w:tplc="493013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B1381B"/>
    <w:multiLevelType w:val="hybridMultilevel"/>
    <w:tmpl w:val="81087B66"/>
    <w:lvl w:ilvl="0" w:tplc="8BB89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9E"/>
    <w:rsid w:val="000114C1"/>
    <w:rsid w:val="00027267"/>
    <w:rsid w:val="0004151F"/>
    <w:rsid w:val="000552E7"/>
    <w:rsid w:val="00055BBC"/>
    <w:rsid w:val="00062439"/>
    <w:rsid w:val="00066F46"/>
    <w:rsid w:val="000713EB"/>
    <w:rsid w:val="000762E5"/>
    <w:rsid w:val="000802CF"/>
    <w:rsid w:val="0008714A"/>
    <w:rsid w:val="000A03CF"/>
    <w:rsid w:val="000A3B96"/>
    <w:rsid w:val="000D23E6"/>
    <w:rsid w:val="00101064"/>
    <w:rsid w:val="0010130E"/>
    <w:rsid w:val="001065AE"/>
    <w:rsid w:val="00124E8A"/>
    <w:rsid w:val="00132595"/>
    <w:rsid w:val="001379E4"/>
    <w:rsid w:val="00173B9E"/>
    <w:rsid w:val="001A2FE5"/>
    <w:rsid w:val="001B019F"/>
    <w:rsid w:val="001C0645"/>
    <w:rsid w:val="001D2B4A"/>
    <w:rsid w:val="001E2C21"/>
    <w:rsid w:val="0020019C"/>
    <w:rsid w:val="00213E48"/>
    <w:rsid w:val="00221690"/>
    <w:rsid w:val="00237C14"/>
    <w:rsid w:val="00241F1C"/>
    <w:rsid w:val="0025365D"/>
    <w:rsid w:val="00280FD1"/>
    <w:rsid w:val="00290B7E"/>
    <w:rsid w:val="002B1643"/>
    <w:rsid w:val="002C2BC2"/>
    <w:rsid w:val="002E4DA1"/>
    <w:rsid w:val="002E6A65"/>
    <w:rsid w:val="002F377E"/>
    <w:rsid w:val="00321B10"/>
    <w:rsid w:val="00323E72"/>
    <w:rsid w:val="00325948"/>
    <w:rsid w:val="0033340E"/>
    <w:rsid w:val="00335EED"/>
    <w:rsid w:val="00340458"/>
    <w:rsid w:val="00343282"/>
    <w:rsid w:val="00376AC6"/>
    <w:rsid w:val="00382218"/>
    <w:rsid w:val="003968E8"/>
    <w:rsid w:val="003D3A4F"/>
    <w:rsid w:val="003E3FDF"/>
    <w:rsid w:val="004113CC"/>
    <w:rsid w:val="00414B0D"/>
    <w:rsid w:val="00422B66"/>
    <w:rsid w:val="0043452E"/>
    <w:rsid w:val="00434554"/>
    <w:rsid w:val="0044607D"/>
    <w:rsid w:val="00472483"/>
    <w:rsid w:val="00497298"/>
    <w:rsid w:val="004C63FB"/>
    <w:rsid w:val="004D0902"/>
    <w:rsid w:val="004D7363"/>
    <w:rsid w:val="004F3ABA"/>
    <w:rsid w:val="004F6B84"/>
    <w:rsid w:val="0050073C"/>
    <w:rsid w:val="005212EF"/>
    <w:rsid w:val="00527BBB"/>
    <w:rsid w:val="0055396F"/>
    <w:rsid w:val="005641AF"/>
    <w:rsid w:val="0056751C"/>
    <w:rsid w:val="00580351"/>
    <w:rsid w:val="00585917"/>
    <w:rsid w:val="005C1829"/>
    <w:rsid w:val="005C3868"/>
    <w:rsid w:val="005C5396"/>
    <w:rsid w:val="006300FA"/>
    <w:rsid w:val="00631413"/>
    <w:rsid w:val="00657BC2"/>
    <w:rsid w:val="006A5ED5"/>
    <w:rsid w:val="006B426D"/>
    <w:rsid w:val="006D5854"/>
    <w:rsid w:val="006E0EF1"/>
    <w:rsid w:val="006E5963"/>
    <w:rsid w:val="006E635B"/>
    <w:rsid w:val="00721BC6"/>
    <w:rsid w:val="0075444D"/>
    <w:rsid w:val="00771A34"/>
    <w:rsid w:val="0078570E"/>
    <w:rsid w:val="007943A8"/>
    <w:rsid w:val="007B1FFE"/>
    <w:rsid w:val="007B5C98"/>
    <w:rsid w:val="007D283A"/>
    <w:rsid w:val="00813353"/>
    <w:rsid w:val="008153DF"/>
    <w:rsid w:val="00816D23"/>
    <w:rsid w:val="008724D4"/>
    <w:rsid w:val="00882C78"/>
    <w:rsid w:val="008A28A4"/>
    <w:rsid w:val="008D58B2"/>
    <w:rsid w:val="008E2C57"/>
    <w:rsid w:val="008E4743"/>
    <w:rsid w:val="009102A9"/>
    <w:rsid w:val="00917E86"/>
    <w:rsid w:val="00926205"/>
    <w:rsid w:val="009351BA"/>
    <w:rsid w:val="00936FEF"/>
    <w:rsid w:val="0093702D"/>
    <w:rsid w:val="009450F4"/>
    <w:rsid w:val="009805B5"/>
    <w:rsid w:val="009871C8"/>
    <w:rsid w:val="009A156C"/>
    <w:rsid w:val="009D56BF"/>
    <w:rsid w:val="009F10E1"/>
    <w:rsid w:val="00A53553"/>
    <w:rsid w:val="00A54E0D"/>
    <w:rsid w:val="00A570C7"/>
    <w:rsid w:val="00A70B18"/>
    <w:rsid w:val="00A845E9"/>
    <w:rsid w:val="00AB48A5"/>
    <w:rsid w:val="00AC187B"/>
    <w:rsid w:val="00AC1E93"/>
    <w:rsid w:val="00B14966"/>
    <w:rsid w:val="00B14FB5"/>
    <w:rsid w:val="00B224EF"/>
    <w:rsid w:val="00B754A7"/>
    <w:rsid w:val="00B82CD4"/>
    <w:rsid w:val="00BF3DC3"/>
    <w:rsid w:val="00BF7CAF"/>
    <w:rsid w:val="00C10341"/>
    <w:rsid w:val="00C11B11"/>
    <w:rsid w:val="00C12480"/>
    <w:rsid w:val="00C12BA6"/>
    <w:rsid w:val="00C268D8"/>
    <w:rsid w:val="00C43547"/>
    <w:rsid w:val="00C9656E"/>
    <w:rsid w:val="00CB53A4"/>
    <w:rsid w:val="00CB59C7"/>
    <w:rsid w:val="00CE0C52"/>
    <w:rsid w:val="00CE27A6"/>
    <w:rsid w:val="00CF1818"/>
    <w:rsid w:val="00D01CD6"/>
    <w:rsid w:val="00D22CAC"/>
    <w:rsid w:val="00D67CFB"/>
    <w:rsid w:val="00D8649F"/>
    <w:rsid w:val="00D9001D"/>
    <w:rsid w:val="00D9051B"/>
    <w:rsid w:val="00D919D6"/>
    <w:rsid w:val="00DA1E76"/>
    <w:rsid w:val="00DD20F1"/>
    <w:rsid w:val="00DD2CB7"/>
    <w:rsid w:val="00DD76A1"/>
    <w:rsid w:val="00DE01DF"/>
    <w:rsid w:val="00DF6482"/>
    <w:rsid w:val="00DF6610"/>
    <w:rsid w:val="00E107F0"/>
    <w:rsid w:val="00E20337"/>
    <w:rsid w:val="00E2172C"/>
    <w:rsid w:val="00E22196"/>
    <w:rsid w:val="00E32AF5"/>
    <w:rsid w:val="00E41FF9"/>
    <w:rsid w:val="00E6443F"/>
    <w:rsid w:val="00E83978"/>
    <w:rsid w:val="00E868CF"/>
    <w:rsid w:val="00E90BE8"/>
    <w:rsid w:val="00E9703C"/>
    <w:rsid w:val="00EA7294"/>
    <w:rsid w:val="00EB0204"/>
    <w:rsid w:val="00EB15C1"/>
    <w:rsid w:val="00EB1730"/>
    <w:rsid w:val="00EC6697"/>
    <w:rsid w:val="00EF16C2"/>
    <w:rsid w:val="00F01899"/>
    <w:rsid w:val="00F05A78"/>
    <w:rsid w:val="00F15B54"/>
    <w:rsid w:val="00F305F1"/>
    <w:rsid w:val="00F3228B"/>
    <w:rsid w:val="00F32BB0"/>
    <w:rsid w:val="00F61C45"/>
    <w:rsid w:val="00F87B23"/>
    <w:rsid w:val="00F9214A"/>
    <w:rsid w:val="00FB2698"/>
    <w:rsid w:val="00FC29EA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EF4D"/>
  <w15:docId w15:val="{BA6DE642-BE40-46BB-A75D-A8C73596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3B9E"/>
    <w:pPr>
      <w:spacing w:after="0" w:line="240" w:lineRule="auto"/>
      <w:jc w:val="both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AC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21B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1BC6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BC6"/>
  </w:style>
  <w:style w:type="paragraph" w:styleId="Podnoje">
    <w:name w:val="footer"/>
    <w:basedOn w:val="Normal"/>
    <w:link w:val="Podno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A9EB-7562-4624-BC96-337C2A76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Prgić Ivošić</dc:creator>
  <cp:lastModifiedBy>Tatjana Rašpolić Majcan</cp:lastModifiedBy>
  <cp:revision>6</cp:revision>
  <cp:lastPrinted>2024-11-08T11:10:00Z</cp:lastPrinted>
  <dcterms:created xsi:type="dcterms:W3CDTF">2025-09-23T11:04:00Z</dcterms:created>
  <dcterms:modified xsi:type="dcterms:W3CDTF">2025-09-25T06:20:00Z</dcterms:modified>
</cp:coreProperties>
</file>