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3558ba0474e3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3381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VISOKI PREKRŠAJNI SUD REPUBLIKE HRVATSKE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2.670.070,11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3.177.138,07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2.666.935,48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3.433.524,70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256.386,63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3.839,54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3.954,37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3.839,54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3.954,37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260.341,00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 razdoblju od 01. siječnja 2025.  do 31.12.2025. prihodi poslovanja ostvareni su u iznosu od 3.177.138,07 eur. Najznačajnije povećanje prihoda poslovanja ostvareno je na plaćama i ostalim rashodima za zaposlene zbog povećanja broja zaposlenih i povećanja osnovice za obračun plaća. Rashodi poslovanja u razdoblju od 01. siječnja do 31. prosinca 2025. ostvareni su u iznosu od 3.433.524,70 eur. Najznačajnije povećanje rashoda ostvareno je na stavci zaposleni zbog povećanja plaća i broja zaposlenih.</w:t>
      </w:r>
    </w:p>
    <w:p>
      <w:r>
        <w:t xml:space="preserve">U navedenom razdoblju nema prihoda od prodaje nefinancijske imovine, kao ni ostvarenih rashoda za nabavu iste.</w:t>
      </w:r>
    </w:p>
    <w:p>
      <w:r>
        <w:t xml:space="preserve">U navedenom razdoblju nije bilo primitaka od financijske imovine, a izdaci su u iznosu od 3.954,37 eur, a koji se odnosi na leasing za službeni automobil.</w:t>
      </w:r>
    </w:p>
    <w:p>
      <w:r>
        <w:t xml:space="preserve">U razdoblju od 01. siječnja 2025. do 31.12.2025. ostvaren je manjak prihoda poslovanja u iznosu od 260.341,00, i manjak od financijske imovine i zaduživanja u iznosu od 3.954,37 eur, što n akraju izvještajnog razdoblja čini ukupno ostvareni manjak prihoda i primitaka u iznosu od 26.0341,00 eur.   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01.01.2025. do 31.12.2025. stanje dospjelih obveza je 0,00 eur.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e8692496184c8a" /></Relationships>
</file>