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ce8dc1a9746e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3412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ŽUPANIJSKI SUD U KARLOVCU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1.262.368,31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1.198.870,11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1.437.287,07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1.206.248,20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174.918,76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7.378,09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2.183,34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2.272,29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2.183,34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2.272,29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104,1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177.102,10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9.650,38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5,4</w:t>
            </w:r>
          </w:p>
        </w:tc>
      </w:tr>
    </w:tbl>
    <w:p>
      <w:pPr>
        <w:spacing w:before="0" w:after="0"/>
      </w:pPr>
    </w:p>
    <w:p>
      <w:r>
        <w:t xml:space="preserve">U izvještajnom razdoblju od 1. siječnja do 30. lipnja 2026. ostvareni su ukupni prihodi u iznosu od 1.198.870,11 EUR. Ukupni rashodi ostvareni su u iznosu od 1.206.248,20 EUR. Rezultat poslovanja za polugodište 2026.godine je manjak prihoda i primitaka u iznosu od 174.231,15 EUR. Znatno povećanje rezultata poslovanja – manjka- rezultat je primjene novog Pravilnika, sukladno kojem rashode za zaposlene koji se odnose na mjesec lipanj više ne knjižimo kao razgraničenje rashoda na skupinu 193, već na konta 3 rashoda koji utječu na povećanje manjka.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10.595,70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171.537,36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1618,9</w:t>
            </w:r>
          </w:p>
        </w:tc>
      </w:tr>
    </w:tbl>
    <w:p>
      <w:pPr>
        <w:spacing w:before="0" w:after="0"/>
      </w:pPr>
    </w:p>
    <w:p>
      <w:r>
        <w:t xml:space="preserve">Preneseni manjak- osim uobičajenih nedospjelih neplaćenih obveza sačinjava i trošak plaće, putni trošak i ostali rashodi za zaposlene koje sukladno novom Pravilniku više ne knjižimo kao razgraničenje na skupinu 193, već na konta rashoda koji utječu na povećanje prenesenog manjka.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Županijski sud u Karlovcu nema 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473c1bcb14405c" /></Relationships>
</file>