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124E6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99143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24E6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470B6" w:rsidRPr="00556D7F" w:rsidRDefault="00D470B6" w:rsidP="00124E65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E65">
              <w:rPr>
                <w:rFonts w:ascii="Arial" w:hAnsi="Arial" w:cs="Arial"/>
                <w:sz w:val="24"/>
                <w:szCs w:val="24"/>
              </w:rPr>
              <w:t>7. veljače</w:t>
            </w:r>
            <w:r w:rsidR="00991431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124E65">
        <w:rPr>
          <w:rFonts w:ascii="Arial" w:hAnsi="Arial" w:cs="Arial"/>
          <w:sz w:val="24"/>
          <w:szCs w:val="24"/>
        </w:rPr>
        <w:t>11</w:t>
      </w:r>
      <w:r w:rsidR="00FC7B67">
        <w:rPr>
          <w:rFonts w:ascii="Arial" w:hAnsi="Arial" w:cs="Arial"/>
          <w:sz w:val="24"/>
          <w:szCs w:val="24"/>
        </w:rPr>
        <w:t>/202</w:t>
      </w:r>
      <w:r w:rsidR="00991431">
        <w:rPr>
          <w:rFonts w:ascii="Arial" w:hAnsi="Arial" w:cs="Arial"/>
          <w:sz w:val="24"/>
          <w:szCs w:val="24"/>
        </w:rPr>
        <w:t>2</w:t>
      </w:r>
      <w:r w:rsidR="00FC7B67">
        <w:rPr>
          <w:rFonts w:ascii="Arial" w:hAnsi="Arial" w:cs="Arial"/>
          <w:sz w:val="24"/>
          <w:szCs w:val="24"/>
        </w:rPr>
        <w:t>-</w:t>
      </w:r>
      <w:r w:rsidR="00124E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od</w:t>
      </w:r>
      <w:r w:rsidR="00A045A6">
        <w:rPr>
          <w:rFonts w:ascii="Arial" w:hAnsi="Arial" w:cs="Arial"/>
          <w:sz w:val="24"/>
          <w:szCs w:val="24"/>
        </w:rPr>
        <w:t xml:space="preserve"> </w:t>
      </w:r>
      <w:r w:rsidR="00124E65">
        <w:rPr>
          <w:rFonts w:ascii="Arial" w:hAnsi="Arial" w:cs="Arial"/>
          <w:sz w:val="24"/>
          <w:szCs w:val="24"/>
        </w:rPr>
        <w:t>4. veljače</w:t>
      </w:r>
      <w:r>
        <w:rPr>
          <w:rFonts w:ascii="Arial" w:hAnsi="Arial" w:cs="Arial"/>
          <w:sz w:val="24"/>
          <w:szCs w:val="24"/>
        </w:rPr>
        <w:t xml:space="preserve"> 202</w:t>
      </w:r>
      <w:r w:rsidR="009914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7F6157" w:rsidRDefault="00124E65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Upravitelj pisarnice sudske uprave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položaj</w:t>
      </w:r>
      <w:r w:rsidR="00807F35">
        <w:rPr>
          <w:rFonts w:ascii="Arial" w:hAnsi="Arial" w:cs="Arial"/>
          <w:b/>
        </w:rPr>
        <w:t xml:space="preserve"> I</w:t>
      </w:r>
      <w:r w:rsidR="007F6157" w:rsidRPr="00556D7F">
        <w:rPr>
          <w:rFonts w:ascii="Arial" w:hAnsi="Arial" w:cs="Arial"/>
          <w:b/>
        </w:rPr>
        <w:t>II. vrste</w:t>
      </w:r>
      <w:r w:rsidR="00807F35">
        <w:rPr>
          <w:rFonts w:ascii="Arial" w:hAnsi="Arial" w:cs="Arial"/>
          <w:b/>
        </w:rPr>
        <w:t xml:space="preserve">, </w:t>
      </w:r>
      <w:r w:rsidR="00F07BA3">
        <w:rPr>
          <w:rFonts w:ascii="Arial" w:hAnsi="Arial" w:cs="Arial"/>
          <w:b/>
        </w:rPr>
        <w:t>1</w:t>
      </w:r>
      <w:r w:rsidR="00807F35">
        <w:rPr>
          <w:rFonts w:ascii="Arial" w:hAnsi="Arial" w:cs="Arial"/>
          <w:b/>
        </w:rPr>
        <w:t xml:space="preserve"> </w:t>
      </w:r>
      <w:r w:rsidR="007F6157" w:rsidRPr="00556D7F">
        <w:rPr>
          <w:rFonts w:ascii="Arial" w:hAnsi="Arial" w:cs="Arial"/>
          <w:b/>
        </w:rPr>
        <w:t>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124E65" w:rsidRPr="00124E65" w:rsidRDefault="00C26F5D" w:rsidP="00122E40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>Opis poslova radnog mjesta:</w:t>
      </w:r>
      <w:r w:rsidR="00124E65" w:rsidRPr="00124E65">
        <w:t xml:space="preserve"> </w:t>
      </w:r>
      <w:r w:rsidR="00124E65" w:rsidRPr="00124E65">
        <w:rPr>
          <w:rFonts w:ascii="Arial" w:hAnsi="Arial" w:cs="Arial"/>
        </w:rPr>
        <w:t>Vodi upisnike sudske uprave i upisnike po zahtjevu za zaštitu prava na suđenje u razumnom roku, vodi brigu o pričuvnoj arhivi,</w:t>
      </w:r>
      <w:r w:rsidR="00124E65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vodi evidenciju kretanja spisa,</w:t>
      </w:r>
      <w:r w:rsidR="00124E65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obavlja poslove u svezi imenovanja sudaca porotnika, te vodi popis sudaca porotnika,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raspoređuje ih i poziva na rasprave,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izdaje i vodi knjigu putnih naloga, izrađuje nacrte odluka (rješenja),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vodi knjigu popisa žigova i pečata u sudu,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vodi evidenciju o prisutnosti na radu, godišnjim odmorima i dopustima,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vodi dnevnik stručnog usavršavanja sudaca, sudskih savjetnika, vježbenika i službenika na sudu, obavlja administrativno-tehničke poslove obrade spisa,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zaprima svakodnevnu poštu sudske uprave,</w:t>
      </w:r>
      <w:r w:rsidR="00122E40">
        <w:rPr>
          <w:rFonts w:ascii="Arial" w:hAnsi="Arial" w:cs="Arial"/>
        </w:rPr>
        <w:t xml:space="preserve"> </w:t>
      </w:r>
      <w:r w:rsidR="00124E65" w:rsidRPr="00124E65">
        <w:rPr>
          <w:rFonts w:ascii="Arial" w:hAnsi="Arial" w:cs="Arial"/>
        </w:rPr>
        <w:t>obavlja i druge poslove po nalogu predsjednika suda i ravnatelja sudske uprave</w:t>
      </w:r>
      <w:r w:rsidR="00122E40">
        <w:rPr>
          <w:rFonts w:ascii="Arial" w:hAnsi="Arial" w:cs="Arial"/>
        </w:rPr>
        <w:t>.</w:t>
      </w:r>
    </w:p>
    <w:p w:rsidR="00807F35" w:rsidRPr="00556D7F" w:rsidRDefault="00807F35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>Plaća za radno mjesto</w:t>
      </w:r>
      <w:r w:rsidR="00122E40">
        <w:rPr>
          <w:rFonts w:ascii="Arial" w:hAnsi="Arial" w:cs="Arial"/>
        </w:rPr>
        <w:t xml:space="preserve"> upravitelja pisarnice sudske uprave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 xml:space="preserve">. </w:t>
      </w:r>
      <w:r w:rsidR="00867C14">
        <w:rPr>
          <w:rFonts w:ascii="Arial" w:hAnsi="Arial" w:cs="Arial"/>
        </w:rPr>
        <w:t>c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867C14">
        <w:rPr>
          <w:rFonts w:ascii="Arial" w:hAnsi="Arial" w:cs="Arial"/>
        </w:rPr>
        <w:t>Položaj</w:t>
      </w:r>
      <w:r w:rsidR="00807F35">
        <w:rPr>
          <w:rFonts w:ascii="Arial" w:hAnsi="Arial" w:cs="Arial"/>
        </w:rPr>
        <w:t xml:space="preserve"> I</w:t>
      </w:r>
      <w:r w:rsidR="008D0ABC" w:rsidRPr="00D4187B">
        <w:rPr>
          <w:rFonts w:ascii="Arial" w:hAnsi="Arial" w:cs="Arial"/>
        </w:rPr>
        <w:t>II. vrste</w:t>
      </w:r>
      <w:r w:rsidR="00B909B8">
        <w:rPr>
          <w:rFonts w:ascii="Arial" w:hAnsi="Arial" w:cs="Arial"/>
        </w:rPr>
        <w:t xml:space="preserve"> </w:t>
      </w:r>
      <w:r w:rsidR="00867C14">
        <w:rPr>
          <w:rFonts w:ascii="Arial" w:hAnsi="Arial" w:cs="Arial"/>
        </w:rPr>
        <w:t>3. d)</w:t>
      </w:r>
      <w:r w:rsidR="008D0ABC" w:rsidRPr="00D4187B">
        <w:rPr>
          <w:rFonts w:ascii="Arial" w:hAnsi="Arial" w:cs="Arial"/>
        </w:rPr>
        <w:t xml:space="preserve">  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 i 63/2021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867C14">
        <w:rPr>
          <w:rFonts w:ascii="Arial" w:hAnsi="Arial" w:cs="Arial"/>
        </w:rPr>
        <w:t>1,004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BF735C" w:rsidRDefault="00BF735C" w:rsidP="008D0ABC">
      <w:pPr>
        <w:jc w:val="both"/>
        <w:rPr>
          <w:rFonts w:ascii="Arial" w:hAnsi="Arial" w:cs="Arial"/>
        </w:rPr>
      </w:pPr>
    </w:p>
    <w:p w:rsidR="00285281" w:rsidRDefault="00285281" w:rsidP="00BF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testiranja i p</w:t>
      </w:r>
      <w:r w:rsidR="00BF735C">
        <w:rPr>
          <w:rFonts w:ascii="Arial" w:hAnsi="Arial" w:cs="Arial"/>
        </w:rPr>
        <w:t xml:space="preserve">ravni izvori za pripremu: </w:t>
      </w:r>
    </w:p>
    <w:p w:rsidR="00285281" w:rsidRPr="00285281" w:rsidRDefault="00285281" w:rsidP="00285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5281">
        <w:rPr>
          <w:rFonts w:ascii="Arial" w:hAnsi="Arial" w:cs="Arial"/>
        </w:rPr>
        <w:t xml:space="preserve">pisana provjera poznavanja osnova Sudskog poslovnika </w:t>
      </w:r>
      <w:r w:rsidRPr="00BF735C">
        <w:rPr>
          <w:rFonts w:ascii="Arial" w:hAnsi="Arial" w:cs="Arial"/>
        </w:rPr>
        <w:t>("Narodne novine" broj 37/2014, 49/2014, 8/2015, 35/2015, 123/2015, 45/2016, 29/2017, 33/2017, 34/2017, 57/2017, 101/2018, 119/2018, 81/2019, 128/2019, 39/2020, 47/2020, 138/2020 i 147/2020)</w:t>
      </w:r>
      <w:r>
        <w:rPr>
          <w:rFonts w:ascii="Arial" w:hAnsi="Arial" w:cs="Arial"/>
        </w:rPr>
        <w:t>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5281">
        <w:rPr>
          <w:rFonts w:ascii="Arial" w:hAnsi="Arial" w:cs="Arial"/>
          <w:sz w:val="24"/>
          <w:szCs w:val="24"/>
        </w:rPr>
        <w:t>razgovor s Komisijom (intervju) za one kandidate koji su zadovoljili na pisanoj p</w:t>
      </w:r>
      <w:r>
        <w:rPr>
          <w:rFonts w:ascii="Arial" w:hAnsi="Arial" w:cs="Arial"/>
          <w:sz w:val="24"/>
          <w:szCs w:val="24"/>
        </w:rPr>
        <w:t>rovjeri znanja</w:t>
      </w:r>
    </w:p>
    <w:p w:rsidR="00E2718F" w:rsidRDefault="00E2718F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85281" w:rsidRPr="00285281" w:rsidRDefault="00E2718F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85281" w:rsidRPr="00285281">
        <w:rPr>
          <w:rFonts w:ascii="Arial" w:hAnsi="Arial" w:cs="Arial"/>
          <w:sz w:val="24"/>
          <w:szCs w:val="24"/>
        </w:rPr>
        <w:t>rovjer</w:t>
      </w:r>
      <w:r>
        <w:rPr>
          <w:rFonts w:ascii="Arial" w:hAnsi="Arial" w:cs="Arial"/>
          <w:sz w:val="24"/>
          <w:szCs w:val="24"/>
        </w:rPr>
        <w:t>a</w:t>
      </w:r>
      <w:r w:rsidR="00285281" w:rsidRPr="00285281">
        <w:rPr>
          <w:rFonts w:ascii="Arial" w:hAnsi="Arial" w:cs="Arial"/>
          <w:sz w:val="24"/>
          <w:szCs w:val="24"/>
        </w:rPr>
        <w:t xml:space="preserve"> znanja </w:t>
      </w:r>
      <w:r w:rsidR="00285281">
        <w:rPr>
          <w:rFonts w:ascii="Arial" w:hAnsi="Arial" w:cs="Arial"/>
          <w:sz w:val="24"/>
          <w:szCs w:val="24"/>
        </w:rPr>
        <w:t xml:space="preserve">i vještina potrebnih za obavljanje poslova </w:t>
      </w:r>
      <w:r>
        <w:rPr>
          <w:rFonts w:ascii="Arial" w:hAnsi="Arial" w:cs="Arial"/>
          <w:sz w:val="24"/>
          <w:szCs w:val="24"/>
        </w:rPr>
        <w:t>upravitelja pisarnice sudske uprave</w:t>
      </w:r>
      <w:r w:rsidR="00285281">
        <w:rPr>
          <w:rFonts w:ascii="Arial" w:hAnsi="Arial" w:cs="Arial"/>
          <w:sz w:val="24"/>
          <w:szCs w:val="24"/>
        </w:rPr>
        <w:t xml:space="preserve"> </w:t>
      </w:r>
      <w:r w:rsidR="00285281" w:rsidRPr="00285281">
        <w:rPr>
          <w:rFonts w:ascii="Arial" w:hAnsi="Arial" w:cs="Arial"/>
          <w:sz w:val="24"/>
          <w:szCs w:val="24"/>
        </w:rPr>
        <w:t>vrednuje se bodovima od 0 do 10.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Smatra se da je kandidat zadovoljio na provjeri znanja ako je za </w:t>
      </w:r>
      <w:r w:rsidR="00E2718F">
        <w:rPr>
          <w:rFonts w:ascii="Arial" w:hAnsi="Arial" w:cs="Arial"/>
          <w:sz w:val="24"/>
          <w:szCs w:val="24"/>
        </w:rPr>
        <w:t xml:space="preserve">na </w:t>
      </w:r>
      <w:r w:rsidRPr="00285281">
        <w:rPr>
          <w:rFonts w:ascii="Arial" w:hAnsi="Arial" w:cs="Arial"/>
          <w:sz w:val="24"/>
          <w:szCs w:val="24"/>
        </w:rPr>
        <w:t>pisan</w:t>
      </w:r>
      <w:r w:rsidR="00E2718F">
        <w:rPr>
          <w:rFonts w:ascii="Arial" w:hAnsi="Arial" w:cs="Arial"/>
          <w:sz w:val="24"/>
          <w:szCs w:val="24"/>
        </w:rPr>
        <w:t>oj</w:t>
      </w:r>
      <w:r w:rsidRPr="00285281">
        <w:rPr>
          <w:rFonts w:ascii="Arial" w:hAnsi="Arial" w:cs="Arial"/>
          <w:sz w:val="24"/>
          <w:szCs w:val="24"/>
        </w:rPr>
        <w:t xml:space="preserve"> provjere dobio najmanje 5 bodova.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Kandidati koji su zadovolj</w:t>
      </w:r>
      <w:r w:rsidR="00E2718F">
        <w:rPr>
          <w:rFonts w:ascii="Arial" w:hAnsi="Arial" w:cs="Arial"/>
          <w:sz w:val="24"/>
          <w:szCs w:val="24"/>
        </w:rPr>
        <w:t>ili na pisanoj provjeri znanja</w:t>
      </w:r>
      <w:bookmarkStart w:id="0" w:name="_GoBack"/>
      <w:bookmarkEnd w:id="0"/>
      <w:r w:rsidRPr="00285281">
        <w:rPr>
          <w:rFonts w:ascii="Arial" w:hAnsi="Arial" w:cs="Arial"/>
          <w:sz w:val="24"/>
          <w:szCs w:val="24"/>
        </w:rPr>
        <w:t xml:space="preserve">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BF735C" w:rsidRDefault="00BF735C" w:rsidP="00BF735C">
      <w:pPr>
        <w:jc w:val="both"/>
        <w:rPr>
          <w:rFonts w:ascii="Arial" w:hAnsi="Arial" w:cs="Arial"/>
        </w:rPr>
      </w:pPr>
    </w:p>
    <w:p w:rsidR="00BF735C" w:rsidRPr="00D4187B" w:rsidRDefault="00BF735C" w:rsidP="008D0ABC">
      <w:pPr>
        <w:jc w:val="both"/>
        <w:rPr>
          <w:rFonts w:ascii="Arial" w:hAnsi="Arial" w:cs="Arial"/>
        </w:rPr>
      </w:pPr>
    </w:p>
    <w:p w:rsidR="008D0ABC" w:rsidRPr="00807F35" w:rsidRDefault="00807F35" w:rsidP="00807F35">
      <w:pPr>
        <w:jc w:val="right"/>
        <w:rPr>
          <w:rFonts w:ascii="Arial" w:hAnsi="Arial" w:cs="Arial"/>
        </w:rPr>
      </w:pPr>
      <w:r w:rsidRPr="00807F35">
        <w:rPr>
          <w:rFonts w:ascii="Arial" w:hAnsi="Arial" w:cs="Arial"/>
        </w:rPr>
        <w:t>KOMISIJA ZA PROVEDBU OGLASA</w:t>
      </w:r>
    </w:p>
    <w:sectPr w:rsidR="008D0ABC" w:rsidRPr="00807F35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122E40"/>
    <w:rsid w:val="00124E65"/>
    <w:rsid w:val="00285281"/>
    <w:rsid w:val="002F4F68"/>
    <w:rsid w:val="00316516"/>
    <w:rsid w:val="00365CF9"/>
    <w:rsid w:val="003C6140"/>
    <w:rsid w:val="004824FE"/>
    <w:rsid w:val="00556D7F"/>
    <w:rsid w:val="005F0573"/>
    <w:rsid w:val="006917CA"/>
    <w:rsid w:val="006D4E3E"/>
    <w:rsid w:val="007B4196"/>
    <w:rsid w:val="007F6157"/>
    <w:rsid w:val="007F7D7F"/>
    <w:rsid w:val="00804209"/>
    <w:rsid w:val="00807F35"/>
    <w:rsid w:val="00867C14"/>
    <w:rsid w:val="00874043"/>
    <w:rsid w:val="008B41E1"/>
    <w:rsid w:val="008D0ABC"/>
    <w:rsid w:val="008E39D9"/>
    <w:rsid w:val="0096003B"/>
    <w:rsid w:val="00961135"/>
    <w:rsid w:val="00976E94"/>
    <w:rsid w:val="00991431"/>
    <w:rsid w:val="009C1DA1"/>
    <w:rsid w:val="009D00BC"/>
    <w:rsid w:val="00A045A6"/>
    <w:rsid w:val="00AE1742"/>
    <w:rsid w:val="00B909B8"/>
    <w:rsid w:val="00B915A9"/>
    <w:rsid w:val="00BF735C"/>
    <w:rsid w:val="00C26F5D"/>
    <w:rsid w:val="00D4187B"/>
    <w:rsid w:val="00D470B6"/>
    <w:rsid w:val="00D473E9"/>
    <w:rsid w:val="00D84F6C"/>
    <w:rsid w:val="00DB052E"/>
    <w:rsid w:val="00DB2382"/>
    <w:rsid w:val="00DD5D82"/>
    <w:rsid w:val="00E0163D"/>
    <w:rsid w:val="00E2718F"/>
    <w:rsid w:val="00F07BA3"/>
    <w:rsid w:val="00F270AA"/>
    <w:rsid w:val="00FC7B67"/>
    <w:rsid w:val="00FE395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BF66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table" w:styleId="Reetkatablice">
    <w:name w:val="Table Grid"/>
    <w:basedOn w:val="Obinatablica"/>
    <w:uiPriority w:val="59"/>
    <w:rsid w:val="001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4</cp:revision>
  <cp:lastPrinted>2018-12-28T13:05:00Z</cp:lastPrinted>
  <dcterms:created xsi:type="dcterms:W3CDTF">2022-02-03T09:22:00Z</dcterms:created>
  <dcterms:modified xsi:type="dcterms:W3CDTF">2022-02-07T10:55:00Z</dcterms:modified>
</cp:coreProperties>
</file>