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</w:t>
      </w:r>
      <w:r w:rsidR="006E6F85">
        <w:rPr>
          <w:b/>
          <w:szCs w:val="24"/>
          <w:lang w:eastAsia="hr-HR"/>
        </w:rPr>
        <w:t xml:space="preserve">       </w:t>
      </w:r>
      <w:r w:rsidRPr="008E68EE">
        <w:rPr>
          <w:b/>
          <w:szCs w:val="24"/>
          <w:lang w:eastAsia="hr-HR"/>
        </w:rPr>
        <w:t xml:space="preserve">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6E6F85">
              <w:rPr>
                <w:rFonts w:ascii="Arial" w:hAnsi="Arial" w:cs="Arial"/>
                <w:spacing w:val="-3"/>
                <w:szCs w:val="24"/>
              </w:rPr>
              <w:t>269</w:t>
            </w:r>
            <w:r w:rsidR="00C9015E">
              <w:rPr>
                <w:rFonts w:ascii="Arial" w:hAnsi="Arial" w:cs="Arial"/>
                <w:spacing w:val="-3"/>
                <w:szCs w:val="24"/>
              </w:rPr>
              <w:t>/</w:t>
            </w:r>
            <w:r w:rsidR="006E6F85">
              <w:rPr>
                <w:rFonts w:ascii="Arial" w:hAnsi="Arial" w:cs="Arial"/>
                <w:spacing w:val="-3"/>
                <w:szCs w:val="24"/>
              </w:rPr>
              <w:t>2024</w:t>
            </w:r>
            <w:r w:rsidR="00B47DB8">
              <w:rPr>
                <w:rFonts w:ascii="Arial" w:hAnsi="Arial" w:cs="Arial"/>
                <w:spacing w:val="-3"/>
                <w:szCs w:val="24"/>
              </w:rPr>
              <w:t>-</w:t>
            </w:r>
            <w:r w:rsidR="00245DA2">
              <w:rPr>
                <w:rFonts w:ascii="Arial" w:hAnsi="Arial" w:cs="Arial"/>
                <w:spacing w:val="-3"/>
                <w:szCs w:val="24"/>
              </w:rPr>
              <w:t>31</w:t>
            </w:r>
          </w:p>
          <w:p w:rsidR="00CF19DF" w:rsidRPr="00C52AC1" w:rsidRDefault="00CF19DF" w:rsidP="006E6F85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6E6F85">
              <w:rPr>
                <w:rFonts w:ascii="Arial" w:hAnsi="Arial" w:cs="Arial"/>
                <w:spacing w:val="-3"/>
                <w:szCs w:val="24"/>
              </w:rPr>
              <w:t>16</w:t>
            </w:r>
            <w:r w:rsidR="00C9015E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6E6F85">
              <w:rPr>
                <w:rFonts w:ascii="Arial" w:hAnsi="Arial" w:cs="Arial"/>
                <w:spacing w:val="-3"/>
                <w:szCs w:val="24"/>
              </w:rPr>
              <w:t>srpnja</w:t>
            </w:r>
            <w:r w:rsidR="00C9015E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6E6F85">
              <w:rPr>
                <w:rFonts w:ascii="Arial" w:hAnsi="Arial" w:cs="Arial"/>
                <w:spacing w:val="-3"/>
                <w:szCs w:val="24"/>
              </w:rPr>
              <w:t>2024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9B5666">
        <w:rPr>
          <w:rFonts w:ascii="Arial" w:hAnsi="Arial" w:cs="Arial"/>
          <w:szCs w:val="24"/>
        </w:rPr>
        <w:t xml:space="preserve"> (dalje u tekstu: Komisija)</w:t>
      </w:r>
      <w:r w:rsidR="004C3D20" w:rsidRPr="00C52AC1">
        <w:rPr>
          <w:rFonts w:ascii="Arial" w:hAnsi="Arial" w:cs="Arial"/>
          <w:szCs w:val="24"/>
        </w:rPr>
        <w:t xml:space="preserve"> t</w:t>
      </w:r>
      <w:r w:rsidR="005A5495">
        <w:rPr>
          <w:rFonts w:ascii="Arial" w:hAnsi="Arial" w:cs="Arial"/>
          <w:szCs w:val="24"/>
        </w:rPr>
        <w:t>emeljem članka 8. i 11. stavak 1</w:t>
      </w:r>
      <w:r w:rsidR="004C3D20" w:rsidRPr="00C52AC1">
        <w:rPr>
          <w:rFonts w:ascii="Arial" w:hAnsi="Arial" w:cs="Arial"/>
          <w:szCs w:val="24"/>
        </w:rPr>
        <w:t xml:space="preserve">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C3764A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2503E6" w:rsidP="004C3D20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1A7E13" w:rsidRPr="00C52AC1">
        <w:rPr>
          <w:rFonts w:ascii="Arial" w:hAnsi="Arial" w:cs="Arial"/>
          <w:szCs w:val="24"/>
        </w:rPr>
        <w:t xml:space="preserve">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6E6F85" w:rsidRDefault="006E6F85" w:rsidP="006E6F85">
      <w:pPr>
        <w:pStyle w:val="Odlomakpopisa"/>
        <w:numPr>
          <w:ilvl w:val="0"/>
          <w:numId w:val="2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zapisničar u tijelima sudbene vlasti</w:t>
      </w:r>
      <w:r w:rsidR="004C3D20" w:rsidRPr="006E6F85">
        <w:rPr>
          <w:rFonts w:ascii="Arial" w:hAnsi="Arial" w:cs="Arial"/>
          <w:b/>
        </w:rPr>
        <w:t xml:space="preserve"> – </w:t>
      </w:r>
      <w:r w:rsidR="00B47DB8" w:rsidRPr="006E6F85">
        <w:rPr>
          <w:rFonts w:ascii="Arial" w:hAnsi="Arial" w:cs="Arial"/>
          <w:b/>
        </w:rPr>
        <w:t>1</w:t>
      </w:r>
      <w:r w:rsidR="00C3764A" w:rsidRPr="006E6F85">
        <w:rPr>
          <w:rFonts w:ascii="Arial" w:hAnsi="Arial" w:cs="Arial"/>
          <w:b/>
        </w:rPr>
        <w:t xml:space="preserve"> (</w:t>
      </w:r>
      <w:r w:rsidR="00B47DB8" w:rsidRPr="006E6F85">
        <w:rPr>
          <w:rFonts w:ascii="Arial" w:hAnsi="Arial" w:cs="Arial"/>
          <w:b/>
        </w:rPr>
        <w:t>jedan</w:t>
      </w:r>
      <w:r>
        <w:rPr>
          <w:rFonts w:ascii="Arial" w:hAnsi="Arial" w:cs="Arial"/>
          <w:b/>
        </w:rPr>
        <w:t>/na</w:t>
      </w:r>
      <w:r w:rsidR="00C3764A" w:rsidRPr="006E6F85">
        <w:rPr>
          <w:rFonts w:ascii="Arial" w:hAnsi="Arial" w:cs="Arial"/>
          <w:b/>
        </w:rPr>
        <w:t>)</w:t>
      </w:r>
      <w:r w:rsidR="004C3D20" w:rsidRPr="006E6F85">
        <w:rPr>
          <w:rFonts w:ascii="Arial" w:hAnsi="Arial" w:cs="Arial"/>
          <w:b/>
        </w:rPr>
        <w:t xml:space="preserve"> izvršitelj</w:t>
      </w:r>
      <w:r w:rsidR="00150D2A" w:rsidRPr="006E6F85">
        <w:rPr>
          <w:rFonts w:ascii="Arial" w:hAnsi="Arial" w:cs="Arial"/>
          <w:b/>
        </w:rPr>
        <w:t>/</w:t>
      </w:r>
      <w:proofErr w:type="spellStart"/>
      <w:r w:rsidR="00150D2A" w:rsidRPr="006E6F85">
        <w:rPr>
          <w:rFonts w:ascii="Arial" w:hAnsi="Arial" w:cs="Arial"/>
          <w:b/>
        </w:rPr>
        <w:t>ic</w:t>
      </w:r>
      <w:r w:rsidR="00B47DB8" w:rsidRPr="006E6F85">
        <w:rPr>
          <w:rFonts w:ascii="Arial" w:hAnsi="Arial" w:cs="Arial"/>
          <w:b/>
        </w:rPr>
        <w:t>a</w:t>
      </w:r>
      <w:proofErr w:type="spellEnd"/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>broj</w:t>
      </w:r>
      <w:r w:rsidR="006E6F85">
        <w:rPr>
          <w:rFonts w:ascii="Arial" w:hAnsi="Arial" w:cs="Arial"/>
          <w:szCs w:val="24"/>
        </w:rPr>
        <w:t>:</w:t>
      </w:r>
      <w:r w:rsidR="0041239D" w:rsidRPr="004B0C77">
        <w:rPr>
          <w:rFonts w:ascii="Arial" w:hAnsi="Arial" w:cs="Arial"/>
          <w:szCs w:val="24"/>
        </w:rPr>
        <w:t xml:space="preserve"> </w:t>
      </w:r>
      <w:r w:rsidR="006E6F85">
        <w:rPr>
          <w:rFonts w:ascii="Arial" w:hAnsi="Arial" w:cs="Arial"/>
          <w:szCs w:val="24"/>
        </w:rPr>
        <w:t>76/2024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6E6F85">
        <w:rPr>
          <w:rFonts w:ascii="Arial" w:hAnsi="Arial" w:cs="Arial"/>
          <w:szCs w:val="24"/>
        </w:rPr>
        <w:t>26</w:t>
      </w:r>
      <w:r w:rsidR="00C9015E">
        <w:rPr>
          <w:rFonts w:ascii="Arial" w:hAnsi="Arial" w:cs="Arial"/>
          <w:szCs w:val="24"/>
        </w:rPr>
        <w:t xml:space="preserve">. </w:t>
      </w:r>
      <w:r w:rsidR="006E6F85">
        <w:rPr>
          <w:rFonts w:ascii="Arial" w:hAnsi="Arial" w:cs="Arial"/>
          <w:szCs w:val="24"/>
        </w:rPr>
        <w:t>lipnja</w:t>
      </w:r>
      <w:r w:rsidR="0041239D">
        <w:rPr>
          <w:rFonts w:ascii="Arial" w:hAnsi="Arial" w:cs="Arial"/>
          <w:szCs w:val="24"/>
        </w:rPr>
        <w:t xml:space="preserve"> 202</w:t>
      </w:r>
      <w:r w:rsidR="006E6F85">
        <w:rPr>
          <w:rFonts w:ascii="Arial" w:hAnsi="Arial" w:cs="Arial"/>
          <w:szCs w:val="24"/>
        </w:rPr>
        <w:t>4</w:t>
      </w:r>
      <w:r w:rsidR="0041239D">
        <w:rPr>
          <w:rFonts w:ascii="Arial" w:hAnsi="Arial" w:cs="Arial"/>
          <w:szCs w:val="24"/>
        </w:rPr>
        <w:t>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</w:t>
      </w:r>
      <w:r w:rsidR="009721E9">
        <w:rPr>
          <w:rFonts w:ascii="Arial" w:hAnsi="Arial" w:cs="Arial"/>
          <w:szCs w:val="24"/>
        </w:rPr>
        <w:t>,</w:t>
      </w:r>
      <w:bookmarkStart w:id="0" w:name="_GoBack"/>
      <w:bookmarkEnd w:id="0"/>
      <w:r w:rsidRPr="00C52AC1">
        <w:rPr>
          <w:rFonts w:ascii="Arial" w:hAnsi="Arial" w:cs="Arial"/>
          <w:szCs w:val="24"/>
        </w:rPr>
        <w:t xml:space="preserve">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3C47E2" w:rsidRDefault="006E6F85" w:rsidP="006E6F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45DA2">
        <w:rPr>
          <w:rFonts w:ascii="Arial" w:hAnsi="Arial" w:cs="Arial"/>
          <w:b/>
        </w:rPr>
        <w:t>3</w:t>
      </w:r>
      <w:r w:rsidR="00B47D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srpnja</w:t>
      </w:r>
      <w:r w:rsidR="00B47D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2024</w:t>
      </w:r>
      <w:r w:rsidR="003C47E2" w:rsidRPr="003C47E2">
        <w:rPr>
          <w:rFonts w:ascii="Arial" w:hAnsi="Arial" w:cs="Arial"/>
          <w:b/>
        </w:rPr>
        <w:t>. (</w:t>
      </w:r>
      <w:r w:rsidR="002503E6">
        <w:rPr>
          <w:rFonts w:ascii="Arial" w:hAnsi="Arial" w:cs="Arial"/>
          <w:b/>
        </w:rPr>
        <w:t>utorak</w:t>
      </w:r>
      <w:r w:rsidR="003C47E2" w:rsidRPr="003C47E2">
        <w:rPr>
          <w:rFonts w:ascii="Arial" w:hAnsi="Arial" w:cs="Arial"/>
          <w:b/>
        </w:rPr>
        <w:t xml:space="preserve">) </w:t>
      </w:r>
      <w:r w:rsidR="004C3D20" w:rsidRPr="003C47E2">
        <w:rPr>
          <w:rFonts w:ascii="Arial" w:hAnsi="Arial" w:cs="Arial"/>
          <w:b/>
        </w:rPr>
        <w:t xml:space="preserve">s početkom u </w:t>
      </w:r>
      <w:r w:rsidR="00D37FB5" w:rsidRPr="003C47E2">
        <w:rPr>
          <w:rFonts w:ascii="Arial" w:hAnsi="Arial" w:cs="Arial"/>
          <w:b/>
        </w:rPr>
        <w:t>8</w:t>
      </w:r>
      <w:r w:rsidR="000B3E44" w:rsidRPr="003C47E2">
        <w:rPr>
          <w:rFonts w:ascii="Arial" w:hAnsi="Arial" w:cs="Arial"/>
          <w:b/>
        </w:rPr>
        <w:t>,00</w:t>
      </w:r>
      <w:r w:rsidR="004C3D20" w:rsidRPr="003C47E2">
        <w:rPr>
          <w:rFonts w:ascii="Arial" w:hAnsi="Arial" w:cs="Arial"/>
          <w:b/>
        </w:rPr>
        <w:t xml:space="preserve"> sati</w:t>
      </w:r>
    </w:p>
    <w:p w:rsidR="004C3D20" w:rsidRPr="00C52AC1" w:rsidRDefault="004C3D20" w:rsidP="003C47E2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</w:t>
      </w:r>
      <w:r w:rsidR="006E6F85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6E6F85" w:rsidRDefault="004C3D20" w:rsidP="006E6F85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6E6F85" w:rsidRDefault="00D37FB5" w:rsidP="006E6F85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  <w:lang w:eastAsia="hr-HR"/>
        </w:rPr>
        <w:t xml:space="preserve">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="005A5495">
        <w:rPr>
          <w:rFonts w:ascii="Arial" w:hAnsi="Arial" w:cs="Arial"/>
          <w:szCs w:val="24"/>
        </w:rPr>
        <w:t>određeni broj bodova od 0</w:t>
      </w:r>
      <w:r w:rsidRPr="00C52AC1">
        <w:rPr>
          <w:rFonts w:ascii="Arial" w:hAnsi="Arial" w:cs="Arial"/>
          <w:szCs w:val="24"/>
        </w:rPr>
        <w:t xml:space="preserve">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 xml:space="preserve">iz područja za koje se raspisuje natječaj (Sudski poslovnik)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</w:t>
      </w:r>
      <w:r w:rsidR="005A5495">
        <w:rPr>
          <w:rFonts w:ascii="Arial" w:hAnsi="Arial" w:cs="Arial"/>
          <w:szCs w:val="24"/>
        </w:rPr>
        <w:t>zgovoru (intervjuu) s Komisijom za provedbu javnog natj</w:t>
      </w:r>
      <w:r w:rsidR="009B5666">
        <w:rPr>
          <w:rFonts w:ascii="Arial" w:hAnsi="Arial" w:cs="Arial"/>
          <w:szCs w:val="24"/>
        </w:rPr>
        <w:t>ečaja</w:t>
      </w:r>
      <w:r w:rsidR="005A5495">
        <w:rPr>
          <w:rFonts w:ascii="Arial" w:hAnsi="Arial" w:cs="Arial"/>
          <w:szCs w:val="24"/>
        </w:rPr>
        <w:t>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Izabrani kandidat prima se u državnu službu rješenjem predsjednika suda. Rješenje se dostavlja javnom objavom na web-stranici Općinskog suda u Zlataru i web-stranici Ministarstva </w:t>
      </w:r>
      <w:r w:rsidR="006E6F85">
        <w:rPr>
          <w:rFonts w:ascii="Arial" w:hAnsi="Arial" w:cs="Arial"/>
          <w:szCs w:val="24"/>
        </w:rPr>
        <w:t>pravosuđa,</w:t>
      </w:r>
      <w:r w:rsidR="00C3764A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uprave</w:t>
      </w:r>
      <w:r w:rsidR="006E6F85">
        <w:rPr>
          <w:rFonts w:ascii="Arial" w:hAnsi="Arial" w:cs="Arial"/>
          <w:szCs w:val="24"/>
        </w:rPr>
        <w:t xml:space="preserve"> i digitalne transformacije</w:t>
      </w:r>
      <w:r w:rsidRPr="00C52AC1">
        <w:rPr>
          <w:rFonts w:ascii="Arial" w:hAnsi="Arial" w:cs="Arial"/>
          <w:szCs w:val="24"/>
        </w:rPr>
        <w:t xml:space="preserve">. Dostava svim kandidatima smatra se obavljenom istekom osmoga dana od dana javne objave na web-stranici Ministarstva </w:t>
      </w:r>
      <w:r w:rsidR="006E6F85">
        <w:rPr>
          <w:rFonts w:ascii="Arial" w:hAnsi="Arial" w:cs="Arial"/>
          <w:szCs w:val="24"/>
        </w:rPr>
        <w:t>pravosuđa,</w:t>
      </w:r>
      <w:r w:rsidR="00D37FB5" w:rsidRPr="00C52AC1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uprave</w:t>
      </w:r>
      <w:r w:rsidR="006E6F85">
        <w:rPr>
          <w:rFonts w:ascii="Arial" w:hAnsi="Arial" w:cs="Arial"/>
          <w:szCs w:val="24"/>
        </w:rPr>
        <w:t xml:space="preserve"> i digitalne transformacije</w:t>
      </w:r>
      <w:r w:rsidRPr="00C52AC1">
        <w:rPr>
          <w:rFonts w:ascii="Arial" w:hAnsi="Arial" w:cs="Arial"/>
          <w:szCs w:val="24"/>
        </w:rPr>
        <w:t>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D91D0A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E9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B3D48E5"/>
    <w:multiLevelType w:val="hybridMultilevel"/>
    <w:tmpl w:val="D6122ECA"/>
    <w:lvl w:ilvl="0" w:tplc="741E0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57967"/>
    <w:multiLevelType w:val="hybridMultilevel"/>
    <w:tmpl w:val="16E0F294"/>
    <w:lvl w:ilvl="0" w:tplc="56DA4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1"/>
  </w:num>
  <w:num w:numId="14">
    <w:abstractNumId w:val="18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3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0F58C7"/>
    <w:rsid w:val="00150D2A"/>
    <w:rsid w:val="001A347C"/>
    <w:rsid w:val="001A7E13"/>
    <w:rsid w:val="001B53C0"/>
    <w:rsid w:val="001E1451"/>
    <w:rsid w:val="00221930"/>
    <w:rsid w:val="002259E3"/>
    <w:rsid w:val="00245DA2"/>
    <w:rsid w:val="002503E6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1430"/>
    <w:rsid w:val="0041239D"/>
    <w:rsid w:val="00417D6E"/>
    <w:rsid w:val="004223D1"/>
    <w:rsid w:val="0042733D"/>
    <w:rsid w:val="004348C3"/>
    <w:rsid w:val="004609BF"/>
    <w:rsid w:val="0047481D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A5495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E6F85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24E2B"/>
    <w:rsid w:val="00942589"/>
    <w:rsid w:val="0096270F"/>
    <w:rsid w:val="00963B3A"/>
    <w:rsid w:val="00965D30"/>
    <w:rsid w:val="00965EAB"/>
    <w:rsid w:val="009721E9"/>
    <w:rsid w:val="00974752"/>
    <w:rsid w:val="009831AF"/>
    <w:rsid w:val="009B5666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47DB8"/>
    <w:rsid w:val="00B57B90"/>
    <w:rsid w:val="00B71070"/>
    <w:rsid w:val="00B77E73"/>
    <w:rsid w:val="00B84016"/>
    <w:rsid w:val="00B95102"/>
    <w:rsid w:val="00BA2444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9015E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3B30"/>
    <w:rsid w:val="00D37FB5"/>
    <w:rsid w:val="00D52DE7"/>
    <w:rsid w:val="00D91D0A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E974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924E2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24E2B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924E2B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924E2B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924E2B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2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337D0F0-08A0-4882-95E4-E3059C93556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47</TotalTime>
  <Pages>3</Pages>
  <Words>709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Marija Labaš</cp:lastModifiedBy>
  <cp:revision>18</cp:revision>
  <cp:lastPrinted>2024-07-16T05:48:00Z</cp:lastPrinted>
  <dcterms:created xsi:type="dcterms:W3CDTF">2023-03-23T09:20:00Z</dcterms:created>
  <dcterms:modified xsi:type="dcterms:W3CDTF">2024-07-16T06:43:00Z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Podnesak - Obavijest (TESTIRANJE - VRIJEME ODRŽAVANJA- ZAPISNIČAR.docx)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