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B5193F" w:rsidRDefault="00B5193F"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B5193F" w:rsidRDefault="00B5193F"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B5193F" w:rsidRDefault="00B5193F"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B5193F" w:rsidRDefault="00B5193F"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AC13F0" w:rsidRPr="00B5193F" w:rsidRDefault="00AC13F0" w:rsidP="00B5193F">
      <w:pPr>
        <w:jc w:val="both"/>
        <w:rPr>
          <w:rFonts w:ascii="Arial" w:hAnsi="Arial" w:cs="Arial"/>
          <w:bCs/>
          <w:iCs/>
          <w:sz w:val="24"/>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za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gramStart"/>
      <w:r w:rsidRPr="00587DC9">
        <w:rPr>
          <w:rFonts w:ascii="Arial" w:hAnsi="Arial" w:cs="Arial"/>
          <w:sz w:val="24"/>
        </w:rPr>
        <w:t>za</w:t>
      </w:r>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Default="00AC13F0" w:rsidP="00AC13F0">
      <w:pPr>
        <w:jc w:val="both"/>
        <w:rPr>
          <w:rFonts w:ascii="Arial" w:hAnsi="Arial" w:cs="Arial"/>
          <w:bCs/>
          <w:iCs/>
          <w:sz w:val="24"/>
        </w:rPr>
      </w:pPr>
    </w:p>
    <w:p w:rsidR="00D4501C" w:rsidRPr="00587DC9" w:rsidRDefault="00D4501C"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CA7784">
        <w:rPr>
          <w:b w:val="0"/>
          <w:i w:val="0"/>
          <w:lang w:val="hr-HR"/>
        </w:rPr>
        <w:t>1178/2024-15</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CA7784">
        <w:rPr>
          <w:rFonts w:ascii="Arial" w:hAnsi="Arial" w:cs="Arial"/>
          <w:bCs/>
          <w:iCs/>
          <w:sz w:val="24"/>
        </w:rPr>
        <w:t xml:space="preserve">13. </w:t>
      </w:r>
      <w:proofErr w:type="spellStart"/>
      <w:proofErr w:type="gramStart"/>
      <w:r w:rsidR="00CA7784">
        <w:rPr>
          <w:rFonts w:ascii="Arial" w:hAnsi="Arial" w:cs="Arial"/>
          <w:bCs/>
          <w:iCs/>
          <w:sz w:val="24"/>
        </w:rPr>
        <w:t>studenoga</w:t>
      </w:r>
      <w:proofErr w:type="spellEnd"/>
      <w:proofErr w:type="gramEnd"/>
      <w:r w:rsidR="00CA7784">
        <w:rPr>
          <w:rFonts w:ascii="Arial" w:hAnsi="Arial" w:cs="Arial"/>
          <w:bCs/>
          <w:iCs/>
          <w:sz w:val="24"/>
        </w:rPr>
        <w:t xml:space="preserve"> </w:t>
      </w:r>
      <w:r w:rsidR="00F91E1F">
        <w:rPr>
          <w:rFonts w:ascii="Arial" w:hAnsi="Arial" w:cs="Arial"/>
          <w:bCs/>
          <w:iCs/>
          <w:sz w:val="24"/>
        </w:rPr>
        <w:t>2024.</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CA7784">
        <w:rPr>
          <w:rFonts w:ascii="Arial" w:hAnsi="Arial" w:cs="Arial"/>
          <w:bCs/>
          <w:iCs/>
          <w:sz w:val="24"/>
        </w:rPr>
        <w:t>1178/2024-4</w:t>
      </w:r>
      <w:r w:rsidR="00E47DFD" w:rsidRPr="00587DC9">
        <w:rPr>
          <w:rFonts w:ascii="Arial" w:hAnsi="Arial" w:cs="Arial"/>
          <w:bCs/>
          <w:iCs/>
          <w:sz w:val="24"/>
        </w:rPr>
        <w:t xml:space="preserve"> </w:t>
      </w:r>
    </w:p>
    <w:p w:rsidR="00AC13F0" w:rsidRPr="00587DC9" w:rsidRDefault="00E47DFD" w:rsidP="00ED6DCA">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CA7784">
        <w:rPr>
          <w:rFonts w:ascii="Arial" w:hAnsi="Arial" w:cs="Arial"/>
          <w:bCs/>
          <w:iCs/>
          <w:sz w:val="24"/>
        </w:rPr>
        <w:t xml:space="preserve">25. </w:t>
      </w:r>
      <w:proofErr w:type="spellStart"/>
      <w:proofErr w:type="gramStart"/>
      <w:r w:rsidR="00CA7784">
        <w:rPr>
          <w:rFonts w:ascii="Arial" w:hAnsi="Arial" w:cs="Arial"/>
          <w:bCs/>
          <w:iCs/>
          <w:sz w:val="24"/>
        </w:rPr>
        <w:t>rujna</w:t>
      </w:r>
      <w:proofErr w:type="spellEnd"/>
      <w:proofErr w:type="gramEnd"/>
      <w:r w:rsidR="00CA7784">
        <w:rPr>
          <w:rFonts w:ascii="Arial" w:hAnsi="Arial" w:cs="Arial"/>
          <w:bCs/>
          <w:iCs/>
          <w:sz w:val="24"/>
        </w:rPr>
        <w:t xml:space="preserve"> 2024. </w:t>
      </w:r>
      <w:proofErr w:type="spellStart"/>
      <w:proofErr w:type="gramStart"/>
      <w:r w:rsidR="00CA7784">
        <w:rPr>
          <w:rFonts w:ascii="Arial" w:hAnsi="Arial" w:cs="Arial"/>
          <w:bCs/>
          <w:iCs/>
          <w:sz w:val="24"/>
        </w:rPr>
        <w:t>godine</w:t>
      </w:r>
      <w:proofErr w:type="spellEnd"/>
      <w:proofErr w:type="gramEnd"/>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gramStart"/>
      <w:r w:rsidRPr="00587DC9">
        <w:rPr>
          <w:rFonts w:ascii="Arial" w:hAnsi="Arial" w:cs="Arial"/>
          <w:b/>
          <w:bCs/>
          <w:iCs/>
          <w:sz w:val="24"/>
        </w:rPr>
        <w:t>za</w:t>
      </w:r>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r w:rsidR="00213786">
        <w:rPr>
          <w:rFonts w:ascii="Arial" w:hAnsi="Arial" w:cs="Arial"/>
          <w:b/>
          <w:bCs/>
          <w:iCs/>
          <w:sz w:val="24"/>
        </w:rPr>
        <w:t>"</w:t>
      </w:r>
      <w:proofErr w:type="spellStart"/>
      <w:r w:rsidR="00213786">
        <w:rPr>
          <w:rFonts w:ascii="Arial" w:hAnsi="Arial" w:cs="Arial"/>
          <w:b/>
          <w:bCs/>
          <w:iCs/>
          <w:sz w:val="24"/>
        </w:rPr>
        <w:t>sudski</w:t>
      </w:r>
      <w:proofErr w:type="spellEnd"/>
      <w:r w:rsidR="00213786">
        <w:rPr>
          <w:rFonts w:ascii="Arial" w:hAnsi="Arial" w:cs="Arial"/>
          <w:b/>
          <w:bCs/>
          <w:iCs/>
          <w:sz w:val="24"/>
        </w:rPr>
        <w:t xml:space="preserve"> </w:t>
      </w:r>
      <w:proofErr w:type="spellStart"/>
      <w:r w:rsidR="00213786">
        <w:rPr>
          <w:rFonts w:ascii="Arial" w:hAnsi="Arial" w:cs="Arial"/>
          <w:b/>
          <w:bCs/>
          <w:iCs/>
          <w:sz w:val="24"/>
        </w:rPr>
        <w:t>savjetnik</w:t>
      </w:r>
      <w:proofErr w:type="spellEnd"/>
      <w:r w:rsidR="00213786">
        <w:rPr>
          <w:rFonts w:ascii="Arial" w:hAnsi="Arial" w:cs="Arial"/>
          <w:b/>
          <w:bCs/>
          <w:iCs/>
          <w:sz w:val="24"/>
        </w:rPr>
        <w:t>"</w:t>
      </w:r>
    </w:p>
    <w:p w:rsidR="00AC13F0" w:rsidRPr="00587DC9" w:rsidRDefault="00AC13F0" w:rsidP="00AC13F0">
      <w:pPr>
        <w:jc w:val="center"/>
        <w:rPr>
          <w:rFonts w:ascii="Arial" w:hAnsi="Arial" w:cs="Arial"/>
          <w:b/>
          <w:bCs/>
          <w:iCs/>
          <w:sz w:val="24"/>
        </w:rPr>
      </w:pPr>
    </w:p>
    <w:p w:rsidR="00AC13F0" w:rsidRPr="00587DC9" w:rsidRDefault="00C83E4C" w:rsidP="00AC13F0">
      <w:pPr>
        <w:jc w:val="center"/>
        <w:rPr>
          <w:rFonts w:ascii="Arial" w:hAnsi="Arial" w:cs="Arial"/>
          <w:bCs/>
          <w:iCs/>
          <w:sz w:val="24"/>
        </w:rPr>
      </w:pPr>
      <w:r>
        <w:rPr>
          <w:rFonts w:ascii="Arial" w:hAnsi="Arial" w:cs="Arial"/>
          <w:bCs/>
          <w:iCs/>
          <w:sz w:val="24"/>
        </w:rPr>
        <w:t>– 2</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dva</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r>
        <w:rPr>
          <w:rFonts w:ascii="Arial" w:hAnsi="Arial" w:cs="Arial"/>
          <w:bCs/>
          <w:iCs/>
          <w:sz w:val="24"/>
        </w:rPr>
        <w:t>a</w:t>
      </w:r>
      <w:bookmarkStart w:id="0" w:name="_GoBack"/>
      <w:bookmarkEnd w:id="0"/>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na</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F91E1F" w:rsidRDefault="00F91E1F" w:rsidP="009E4414">
      <w:pPr>
        <w:rPr>
          <w:rFonts w:ascii="Arial" w:hAnsi="Arial" w:cs="Arial"/>
          <w:b/>
          <w:bCs/>
          <w:iCs/>
          <w:sz w:val="24"/>
          <w:lang w:val="hr-HR"/>
        </w:rPr>
      </w:pPr>
    </w:p>
    <w:p w:rsidR="00213786" w:rsidRPr="00213786" w:rsidRDefault="00F91E1F" w:rsidP="00F91E1F">
      <w:pPr>
        <w:jc w:val="both"/>
        <w:rPr>
          <w:rFonts w:ascii="Arial" w:hAnsi="Arial" w:cs="Arial"/>
          <w:bCs/>
          <w:iCs/>
          <w:sz w:val="24"/>
          <w:lang w:val="hr-HR"/>
        </w:rPr>
      </w:pPr>
      <w:r>
        <w:rPr>
          <w:rFonts w:ascii="Arial" w:hAnsi="Arial" w:cs="Arial"/>
          <w:b/>
          <w:bCs/>
          <w:iCs/>
          <w:sz w:val="24"/>
          <w:lang w:val="hr-HR"/>
        </w:rPr>
        <w:tab/>
      </w:r>
      <w:r>
        <w:rPr>
          <w:rFonts w:ascii="Arial" w:hAnsi="Arial" w:cs="Arial"/>
          <w:bCs/>
          <w:iCs/>
          <w:sz w:val="24"/>
          <w:lang w:val="hr-HR"/>
        </w:rPr>
        <w:t xml:space="preserve">Sudski savjetnik sudjeluje u suđenju i samostalno provodi određene sudske postupke, ocjenjuje dokaze, utvrđuje činjenice, izrađuje nacrte sudskih odluka, izvještava o stanju spisa, pomaže sucu u radu i poduzima ostale potrebne radnje u jednostavnijim predmetima, obavlja ostale poslove po nalogu suca mentora i predsjednika suda. </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F91E1F" w:rsidRDefault="00F91E1F" w:rsidP="00782867">
      <w:pPr>
        <w:rPr>
          <w:rFonts w:ascii="Arial" w:hAnsi="Arial" w:cs="Arial"/>
          <w:b/>
          <w:bCs/>
          <w:iCs/>
          <w:color w:val="000000" w:themeColor="text1"/>
          <w:sz w:val="24"/>
          <w:lang w:val="hr-HR"/>
        </w:rPr>
      </w:pPr>
    </w:p>
    <w:p w:rsidR="00856500" w:rsidRDefault="00F91E1F" w:rsidP="00F91E1F">
      <w:pPr>
        <w:pStyle w:val="Tijeloteksta2"/>
        <w:ind w:firstLine="708"/>
        <w:rPr>
          <w:bCs/>
          <w:i w:val="0"/>
          <w:lang w:val="hr-HR"/>
        </w:rPr>
      </w:pPr>
      <w:r w:rsidRPr="00587DC9">
        <w:rPr>
          <w:bCs/>
          <w:i w:val="0"/>
          <w:lang w:val="hr-HR"/>
        </w:rPr>
        <w:t>Plaću radnog mjesta</w:t>
      </w:r>
      <w:r>
        <w:rPr>
          <w:bCs/>
          <w:i w:val="0"/>
          <w:lang w:val="hr-HR"/>
        </w:rPr>
        <w:t xml:space="preserve"> sudski savjetnik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Pr>
          <w:bCs/>
          <w:i w:val="0"/>
          <w:lang w:val="hr-HR"/>
        </w:rPr>
        <w:t xml:space="preserve">2,30 </w:t>
      </w:r>
      <w:r w:rsidRPr="00587DC9">
        <w:rPr>
          <w:bCs/>
          <w:i w:val="0"/>
          <w:iCs w:val="0"/>
          <w:lang w:val="hr-HR"/>
        </w:rPr>
        <w:t xml:space="preserve">(utvrđen </w:t>
      </w:r>
      <w:r>
        <w:rPr>
          <w:bCs/>
          <w:i w:val="0"/>
          <w:iCs w:val="0"/>
          <w:lang w:val="hr-HR"/>
        </w:rPr>
        <w:t xml:space="preserve">prema  Tablici 5., čl. 09 – Tijela sudbene vlasti, Radna mjesta I. vrste Uredbe o nazivima radnih mjesta, uvjetima za raspored i koeficijentima za obračun plaće u državnoj službi "Narodne novine" broj: 22/2024. i 33/2024.) </w:t>
      </w:r>
      <w:r w:rsidRPr="00587DC9">
        <w:rPr>
          <w:bCs/>
          <w:i w:val="0"/>
          <w:lang w:val="hr-HR"/>
        </w:rPr>
        <w:t xml:space="preserve">i osnovice za izračun </w:t>
      </w:r>
      <w:r>
        <w:rPr>
          <w:bCs/>
          <w:i w:val="0"/>
          <w:lang w:val="hr-HR"/>
        </w:rPr>
        <w:t>plaće =947,18  EUR u</w:t>
      </w:r>
      <w:r w:rsidRPr="00587DC9">
        <w:rPr>
          <w:bCs/>
          <w:i w:val="0"/>
          <w:lang w:val="hr-HR"/>
        </w:rPr>
        <w:t>većan za 0,5% za svaku navršenu godinu rad</w:t>
      </w:r>
      <w:r>
        <w:rPr>
          <w:bCs/>
          <w:i w:val="0"/>
          <w:lang w:val="hr-HR"/>
        </w:rPr>
        <w:t>nog staža.</w:t>
      </w:r>
    </w:p>
    <w:p w:rsidR="005D41F4" w:rsidRPr="005D41F4" w:rsidRDefault="005D41F4" w:rsidP="005D41F4">
      <w:pPr>
        <w:pStyle w:val="Naslov2"/>
        <w:jc w:val="left"/>
        <w:rPr>
          <w:b w:val="0"/>
          <w:i w:val="0"/>
          <w:lang w:val="hr-HR"/>
        </w:rPr>
      </w:pPr>
      <w:r>
        <w:rPr>
          <w:bCs w:val="0"/>
          <w:i w:val="0"/>
          <w:lang w:val="hr-HR"/>
        </w:rPr>
        <w:lastRenderedPageBreak/>
        <w:tab/>
      </w:r>
      <w:r>
        <w:rPr>
          <w:bCs w:val="0"/>
          <w:i w:val="0"/>
          <w:lang w:val="hr-HR"/>
        </w:rPr>
        <w:tab/>
      </w:r>
      <w:r>
        <w:rPr>
          <w:bCs w:val="0"/>
          <w:i w:val="0"/>
          <w:lang w:val="hr-HR"/>
        </w:rPr>
        <w:tab/>
      </w:r>
      <w:r>
        <w:rPr>
          <w:bCs w:val="0"/>
          <w:i w:val="0"/>
          <w:lang w:val="hr-HR"/>
        </w:rPr>
        <w:tab/>
      </w:r>
      <w:r>
        <w:rPr>
          <w:bCs w:val="0"/>
          <w:i w:val="0"/>
          <w:lang w:val="hr-HR"/>
        </w:rPr>
        <w:tab/>
      </w:r>
      <w:r>
        <w:rPr>
          <w:bCs w:val="0"/>
          <w:i w:val="0"/>
          <w:lang w:val="hr-HR"/>
        </w:rPr>
        <w:tab/>
      </w:r>
      <w:r w:rsidRPr="005D41F4">
        <w:rPr>
          <w:b w:val="0"/>
          <w:bCs w:val="0"/>
          <w:i w:val="0"/>
          <w:lang w:val="hr-HR"/>
        </w:rPr>
        <w:t>- 2 -</w:t>
      </w:r>
      <w:r>
        <w:rPr>
          <w:bCs w:val="0"/>
          <w:i w:val="0"/>
          <w:lang w:val="hr-HR"/>
        </w:rPr>
        <w:tab/>
      </w:r>
      <w:r>
        <w:rPr>
          <w:bCs w:val="0"/>
          <w:i w:val="0"/>
          <w:lang w:val="hr-HR"/>
        </w:rPr>
        <w:tab/>
      </w:r>
      <w:r>
        <w:rPr>
          <w:bCs w:val="0"/>
          <w:i w:val="0"/>
          <w:lang w:val="hr-HR"/>
        </w:rPr>
        <w:tab/>
      </w:r>
      <w:r w:rsidRPr="00587DC9">
        <w:rPr>
          <w:b w:val="0"/>
          <w:i w:val="0"/>
          <w:lang w:val="hr-HR"/>
        </w:rPr>
        <w:t>Broj:  7-Su-</w:t>
      </w:r>
      <w:r>
        <w:rPr>
          <w:b w:val="0"/>
          <w:i w:val="0"/>
          <w:lang w:val="hr-HR"/>
        </w:rPr>
        <w:t>1178/2024-15</w:t>
      </w:r>
    </w:p>
    <w:p w:rsidR="005D41F4" w:rsidRDefault="005D41F4" w:rsidP="005D41F4">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Default="00856500" w:rsidP="005D41F4">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90592B">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5D41F4" w:rsidRPr="00587DC9" w:rsidRDefault="005D41F4" w:rsidP="005D41F4">
      <w:pPr>
        <w:ind w:firstLine="708"/>
        <w:jc w:val="both"/>
        <w:rPr>
          <w:rFonts w:ascii="Arial" w:hAnsi="Arial" w:cs="Arial"/>
          <w:bCs/>
          <w:iCs/>
          <w:sz w:val="24"/>
          <w:lang w:val="hr-HR"/>
        </w:rPr>
      </w:pPr>
    </w:p>
    <w:p w:rsidR="00416C13" w:rsidRDefault="00856500" w:rsidP="005D41F4">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416C13" w:rsidRDefault="00416C13" w:rsidP="00416C13">
      <w:pPr>
        <w:jc w:val="both"/>
        <w:rPr>
          <w:rFonts w:ascii="Arial" w:hAnsi="Arial" w:cs="Arial"/>
          <w:bCs/>
          <w:iCs/>
          <w:sz w:val="24"/>
          <w:lang w:val="hr-HR"/>
        </w:rPr>
      </w:pPr>
      <w:r>
        <w:rPr>
          <w:rFonts w:ascii="Arial" w:hAnsi="Arial" w:cs="Arial"/>
          <w:bCs/>
          <w:iCs/>
          <w:sz w:val="24"/>
          <w:lang w:val="hr-HR"/>
        </w:rPr>
        <w:tab/>
        <w:t>Testiranje kandidata sastoji se od pismene provjere znanja.</w:t>
      </w:r>
    </w:p>
    <w:p w:rsidR="005D41F4" w:rsidRDefault="005D41F4" w:rsidP="00416C13">
      <w:pPr>
        <w:jc w:val="both"/>
        <w:rPr>
          <w:rFonts w:ascii="Arial" w:hAnsi="Arial" w:cs="Arial"/>
          <w:bCs/>
          <w:iCs/>
          <w:sz w:val="24"/>
          <w:lang w:val="hr-HR"/>
        </w:rPr>
      </w:pPr>
    </w:p>
    <w:p w:rsidR="00416C13" w:rsidRDefault="00416C13" w:rsidP="005D41F4">
      <w:pPr>
        <w:ind w:firstLine="708"/>
        <w:jc w:val="both"/>
        <w:rPr>
          <w:rFonts w:ascii="Arial" w:hAnsi="Arial" w:cs="Arial"/>
          <w:bCs/>
          <w:iCs/>
          <w:sz w:val="24"/>
          <w:lang w:val="hr-HR"/>
        </w:rPr>
      </w:pPr>
      <w:r w:rsidRPr="00587DC9">
        <w:rPr>
          <w:rFonts w:ascii="Arial" w:hAnsi="Arial" w:cs="Arial"/>
          <w:bCs/>
          <w:iCs/>
          <w:sz w:val="24"/>
          <w:lang w:val="hr-HR"/>
        </w:rPr>
        <w:t>Za pismenu provjeru znanja kandidatima će biti podijel</w:t>
      </w:r>
      <w:r>
        <w:rPr>
          <w:rFonts w:ascii="Arial" w:hAnsi="Arial" w:cs="Arial"/>
          <w:bCs/>
          <w:iCs/>
          <w:sz w:val="24"/>
          <w:lang w:val="hr-HR"/>
        </w:rPr>
        <w:t xml:space="preserve">jena pitanja (10 pitanja) </w:t>
      </w:r>
      <w:r w:rsidRPr="00587DC9">
        <w:rPr>
          <w:rFonts w:ascii="Arial" w:hAnsi="Arial" w:cs="Arial"/>
          <w:bCs/>
          <w:iCs/>
          <w:sz w:val="24"/>
          <w:lang w:val="hr-HR"/>
        </w:rPr>
        <w:t>koja su jednaka za sve kandidate.</w:t>
      </w:r>
      <w:r w:rsidRPr="004C0905">
        <w:rPr>
          <w:rFonts w:ascii="Arial" w:hAnsi="Arial" w:cs="Arial"/>
          <w:bCs/>
          <w:iCs/>
          <w:sz w:val="24"/>
          <w:lang w:val="hr-HR"/>
        </w:rPr>
        <w:tab/>
      </w:r>
    </w:p>
    <w:p w:rsidR="005D41F4" w:rsidRPr="004C0905" w:rsidRDefault="005D41F4" w:rsidP="005D41F4">
      <w:pPr>
        <w:ind w:firstLine="708"/>
        <w:jc w:val="both"/>
        <w:rPr>
          <w:rFonts w:ascii="Arial" w:hAnsi="Arial" w:cs="Arial"/>
          <w:bCs/>
          <w:iCs/>
          <w:sz w:val="24"/>
          <w:lang w:val="hr-HR"/>
        </w:rPr>
      </w:pPr>
    </w:p>
    <w:p w:rsidR="00416C13" w:rsidRDefault="00416C13" w:rsidP="005D41F4">
      <w:pPr>
        <w:ind w:firstLine="708"/>
        <w:jc w:val="both"/>
        <w:rPr>
          <w:rFonts w:ascii="Arial" w:hAnsi="Arial" w:cs="Arial"/>
          <w:bCs/>
          <w:iCs/>
          <w:sz w:val="24"/>
          <w:lang w:val="hr-HR"/>
        </w:rPr>
      </w:pPr>
      <w:r>
        <w:rPr>
          <w:rFonts w:ascii="Arial" w:hAnsi="Arial" w:cs="Arial"/>
          <w:bCs/>
          <w:iCs/>
          <w:sz w:val="24"/>
          <w:lang w:val="hr-HR"/>
        </w:rPr>
        <w:t>Provjera znanja vrednuje se bodovima od 0 do 10. Smatra se da je kandidat zadovoljio na provedenoj provjeri znanja ako je dobio najmanje 5 bodova. Kandidat koji ne zadovolji na provedenoj provjeri ne može sudjelovati u daljnjem postupku, tj. razgovoru (intervjuu) sa Komisijom.</w:t>
      </w:r>
    </w:p>
    <w:p w:rsidR="005D41F4" w:rsidRPr="004C0905" w:rsidRDefault="005D41F4" w:rsidP="005D41F4">
      <w:pPr>
        <w:ind w:firstLine="708"/>
        <w:jc w:val="both"/>
        <w:rPr>
          <w:rFonts w:ascii="Arial" w:hAnsi="Arial" w:cs="Arial"/>
          <w:bCs/>
          <w:iCs/>
          <w:sz w:val="24"/>
          <w:lang w:val="hr-HR"/>
        </w:rPr>
      </w:pPr>
    </w:p>
    <w:p w:rsidR="00416C13" w:rsidRDefault="00416C13" w:rsidP="005D41F4">
      <w:pPr>
        <w:ind w:firstLine="708"/>
        <w:jc w:val="both"/>
        <w:rPr>
          <w:rFonts w:ascii="Arial" w:hAnsi="Arial" w:cs="Arial"/>
          <w:bCs/>
          <w:iCs/>
          <w:sz w:val="24"/>
          <w:lang w:val="hr-HR"/>
        </w:rPr>
      </w:pPr>
      <w:r w:rsidRPr="004C0905">
        <w:rPr>
          <w:rFonts w:ascii="Arial" w:hAnsi="Arial" w:cs="Arial"/>
          <w:bCs/>
          <w:iCs/>
          <w:sz w:val="24"/>
          <w:lang w:val="hr-HR"/>
        </w:rPr>
        <w:t xml:space="preserve">Kandidati koji su zadovoljili na </w:t>
      </w:r>
      <w:r w:rsidR="0083469B">
        <w:rPr>
          <w:rFonts w:ascii="Arial" w:hAnsi="Arial" w:cs="Arial"/>
          <w:bCs/>
          <w:iCs/>
          <w:sz w:val="24"/>
          <w:lang w:val="hr-HR"/>
        </w:rPr>
        <w:t xml:space="preserve">pismenoj </w:t>
      </w:r>
      <w:r w:rsidRPr="004C0905">
        <w:rPr>
          <w:rFonts w:ascii="Arial" w:hAnsi="Arial" w:cs="Arial"/>
          <w:bCs/>
          <w:iCs/>
          <w:sz w:val="24"/>
          <w:lang w:val="hr-HR"/>
        </w:rPr>
        <w:t>provjeri znanja, te ostvarili n</w:t>
      </w:r>
      <w:r>
        <w:rPr>
          <w:rFonts w:ascii="Arial" w:hAnsi="Arial" w:cs="Arial"/>
          <w:bCs/>
          <w:iCs/>
          <w:sz w:val="24"/>
          <w:lang w:val="hr-HR"/>
        </w:rPr>
        <w:t>ajbolje rezultate testiranja (10</w:t>
      </w:r>
      <w:r w:rsidRPr="004C0905">
        <w:rPr>
          <w:rFonts w:ascii="Arial" w:hAnsi="Arial" w:cs="Arial"/>
          <w:bCs/>
          <w:iCs/>
          <w:sz w:val="24"/>
          <w:lang w:val="hr-HR"/>
        </w:rPr>
        <w:t xml:space="preserve"> kandidata),  pristupit će razgovoru s Komisijom (intervju). Ako je u  fazi te</w:t>
      </w:r>
      <w:r>
        <w:rPr>
          <w:rFonts w:ascii="Arial" w:hAnsi="Arial" w:cs="Arial"/>
          <w:bCs/>
          <w:iCs/>
          <w:sz w:val="24"/>
          <w:lang w:val="hr-HR"/>
        </w:rPr>
        <w:t>stiranja zadovoljilo manje od 10</w:t>
      </w:r>
      <w:r w:rsidRPr="004C0905">
        <w:rPr>
          <w:rFonts w:ascii="Arial" w:hAnsi="Arial" w:cs="Arial"/>
          <w:bCs/>
          <w:iCs/>
          <w:sz w:val="24"/>
          <w:lang w:val="hr-HR"/>
        </w:rPr>
        <w:t xml:space="preserve"> kandidata, na intervju će se pozvati svi kandidati koji su zadovoljili u fazi testiranja. Svi kand</w:t>
      </w:r>
      <w:r>
        <w:rPr>
          <w:rFonts w:ascii="Arial" w:hAnsi="Arial" w:cs="Arial"/>
          <w:bCs/>
          <w:iCs/>
          <w:sz w:val="24"/>
          <w:lang w:val="hr-HR"/>
        </w:rPr>
        <w:t>idati koji dijele 10</w:t>
      </w:r>
      <w:r w:rsidRPr="004C0905">
        <w:rPr>
          <w:rFonts w:ascii="Arial" w:hAnsi="Arial" w:cs="Arial"/>
          <w:bCs/>
          <w:iCs/>
          <w:sz w:val="24"/>
          <w:lang w:val="hr-HR"/>
        </w:rPr>
        <w:t>. mjesto nakon provedenog testiranja  pozvat će se na intervju.</w:t>
      </w:r>
    </w:p>
    <w:p w:rsidR="005D41F4" w:rsidRPr="004C0905" w:rsidRDefault="005D41F4" w:rsidP="005D41F4">
      <w:pPr>
        <w:ind w:firstLine="708"/>
        <w:jc w:val="both"/>
        <w:rPr>
          <w:rFonts w:ascii="Arial" w:hAnsi="Arial" w:cs="Arial"/>
          <w:bCs/>
          <w:iCs/>
          <w:sz w:val="24"/>
          <w:lang w:val="hr-HR"/>
        </w:rPr>
      </w:pPr>
    </w:p>
    <w:p w:rsidR="00416C13" w:rsidRDefault="00416C13" w:rsidP="00416C13">
      <w:pPr>
        <w:ind w:firstLine="708"/>
        <w:jc w:val="both"/>
        <w:rPr>
          <w:rFonts w:ascii="Arial" w:hAnsi="Arial" w:cs="Arial"/>
          <w:bCs/>
          <w:iCs/>
          <w:sz w:val="24"/>
          <w:lang w:val="hr-HR"/>
        </w:rPr>
      </w:pPr>
      <w:r w:rsidRPr="004C0905">
        <w:rPr>
          <w:rFonts w:ascii="Arial" w:hAnsi="Arial" w:cs="Arial"/>
          <w:bCs/>
          <w:iCs/>
          <w:sz w:val="24"/>
          <w:lang w:val="hr-HR"/>
        </w:rPr>
        <w:t>Komisija kroz razgovor s kandidatima utvrđuje znanja, sposobnosti i vještine, interese, profesionalne ciljeve i motivaciju kandidata za rad u državnoj službi, kao i stečeno radno iskustvo u struci, te rezultate ostvarene u dosadašnjem radu. Rezultati intervjua boduju se na isti način kao i pisani test, odnosno svaki kandidat može ostvariti od 0 do 10 bodova.</w:t>
      </w:r>
      <w:r>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p>
    <w:p w:rsidR="009E4446" w:rsidRDefault="009E4446" w:rsidP="00416C13">
      <w:pPr>
        <w:ind w:firstLine="708"/>
        <w:jc w:val="both"/>
        <w:rPr>
          <w:rFonts w:ascii="Arial" w:hAnsi="Arial" w:cs="Arial"/>
          <w:bCs/>
          <w:iCs/>
          <w:sz w:val="24"/>
          <w:lang w:val="hr-HR"/>
        </w:rPr>
      </w:pPr>
    </w:p>
    <w:p w:rsidR="009E4446" w:rsidRDefault="009E4446" w:rsidP="00416C13">
      <w:pPr>
        <w:ind w:firstLine="708"/>
        <w:jc w:val="both"/>
        <w:rPr>
          <w:rFonts w:ascii="Arial" w:hAnsi="Arial" w:cs="Arial"/>
          <w:bCs/>
          <w:iCs/>
          <w:sz w:val="24"/>
          <w:lang w:val="hr-HR"/>
        </w:rPr>
      </w:pPr>
    </w:p>
    <w:p w:rsidR="009E4446" w:rsidRPr="009E4446" w:rsidRDefault="009E4446" w:rsidP="009E4446">
      <w:pPr>
        <w:jc w:val="both"/>
        <w:rPr>
          <w:rFonts w:ascii="Arial" w:hAnsi="Arial" w:cs="Arial"/>
          <w:b/>
          <w:bCs/>
          <w:iCs/>
          <w:sz w:val="24"/>
          <w:lang w:val="hr-HR"/>
        </w:rPr>
      </w:pPr>
      <w:r w:rsidRPr="009E4446">
        <w:rPr>
          <w:rFonts w:ascii="Arial" w:hAnsi="Arial" w:cs="Arial"/>
          <w:b/>
          <w:bCs/>
          <w:iCs/>
          <w:sz w:val="24"/>
          <w:lang w:val="hr-HR"/>
        </w:rPr>
        <w:t>PRAVNI IZVORI ZA PRIPREMU KANDIDATA:</w:t>
      </w:r>
    </w:p>
    <w:p w:rsidR="009E4446" w:rsidRDefault="009E4446" w:rsidP="00416C13">
      <w:pPr>
        <w:ind w:firstLine="708"/>
        <w:jc w:val="both"/>
        <w:rPr>
          <w:rFonts w:ascii="Arial" w:hAnsi="Arial" w:cs="Arial"/>
          <w:bCs/>
          <w:iCs/>
          <w:sz w:val="24"/>
          <w:lang w:val="hr-HR"/>
        </w:rPr>
      </w:pPr>
    </w:p>
    <w:p w:rsidR="009E4446" w:rsidRPr="009E4446" w:rsidRDefault="009E4446" w:rsidP="009E4446">
      <w:pPr>
        <w:jc w:val="both"/>
        <w:rPr>
          <w:rFonts w:ascii="Arial" w:hAnsi="Arial" w:cs="Arial"/>
          <w:color w:val="484848"/>
          <w:sz w:val="21"/>
          <w:szCs w:val="21"/>
          <w:shd w:val="clear" w:color="auto" w:fill="FFFFFF"/>
        </w:rPr>
      </w:pPr>
      <w:proofErr w:type="spellStart"/>
      <w:r w:rsidRPr="009E4446">
        <w:rPr>
          <w:rFonts w:ascii="Arial" w:hAnsi="Arial" w:cs="Arial"/>
          <w:color w:val="484848"/>
          <w:sz w:val="21"/>
          <w:szCs w:val="21"/>
          <w:shd w:val="clear" w:color="auto" w:fill="FFFFFF"/>
        </w:rPr>
        <w:t>Zakon</w:t>
      </w:r>
      <w:proofErr w:type="spellEnd"/>
      <w:r w:rsidRPr="009E4446">
        <w:rPr>
          <w:rFonts w:ascii="Arial" w:hAnsi="Arial" w:cs="Arial"/>
          <w:color w:val="484848"/>
          <w:sz w:val="21"/>
          <w:szCs w:val="21"/>
          <w:shd w:val="clear" w:color="auto" w:fill="FFFFFF"/>
        </w:rPr>
        <w:t xml:space="preserve"> o </w:t>
      </w:r>
      <w:proofErr w:type="spellStart"/>
      <w:r w:rsidRPr="009E4446">
        <w:rPr>
          <w:rFonts w:ascii="Arial" w:hAnsi="Arial" w:cs="Arial"/>
          <w:color w:val="484848"/>
          <w:sz w:val="21"/>
          <w:szCs w:val="21"/>
          <w:shd w:val="clear" w:color="auto" w:fill="FFFFFF"/>
        </w:rPr>
        <w:t>kaznenom</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postupku</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Narodne</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novine</w:t>
      </w:r>
      <w:proofErr w:type="spellEnd"/>
      <w:r w:rsidRPr="009E4446">
        <w:rPr>
          <w:rFonts w:ascii="Arial" w:hAnsi="Arial" w:cs="Arial"/>
          <w:color w:val="484848"/>
          <w:sz w:val="21"/>
          <w:szCs w:val="21"/>
          <w:shd w:val="clear" w:color="auto" w:fill="FFFFFF"/>
        </w:rPr>
        <w:t xml:space="preserve">" br. 152/08., 76/09., 80/11., 121/11. - </w:t>
      </w:r>
      <w:proofErr w:type="spellStart"/>
      <w:r w:rsidRPr="009E4446">
        <w:rPr>
          <w:rFonts w:ascii="Arial" w:hAnsi="Arial" w:cs="Arial"/>
          <w:color w:val="484848"/>
          <w:sz w:val="21"/>
          <w:szCs w:val="21"/>
          <w:shd w:val="clear" w:color="auto" w:fill="FFFFFF"/>
        </w:rPr>
        <w:t>službeni</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pročišćeni</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tekst</w:t>
      </w:r>
      <w:proofErr w:type="spellEnd"/>
      <w:r w:rsidRPr="009E4446">
        <w:rPr>
          <w:rFonts w:ascii="Arial" w:hAnsi="Arial" w:cs="Arial"/>
          <w:color w:val="484848"/>
          <w:sz w:val="21"/>
          <w:szCs w:val="21"/>
          <w:shd w:val="clear" w:color="auto" w:fill="FFFFFF"/>
        </w:rPr>
        <w:t>, 91/12., 143/12., 56/13., </w:t>
      </w:r>
      <w:r w:rsidRPr="009E4446">
        <w:rPr>
          <w:rStyle w:val="highlighted"/>
          <w:rFonts w:ascii="Arial" w:hAnsi="Arial" w:cs="Arial"/>
          <w:color w:val="000000"/>
          <w:sz w:val="21"/>
          <w:szCs w:val="21"/>
          <w:shd w:val="clear" w:color="auto" w:fill="FFFF00"/>
        </w:rPr>
        <w:t>145</w:t>
      </w:r>
      <w:r w:rsidRPr="009E4446">
        <w:rPr>
          <w:rFonts w:ascii="Arial" w:hAnsi="Arial" w:cs="Arial"/>
          <w:color w:val="484848"/>
          <w:sz w:val="21"/>
          <w:szCs w:val="21"/>
          <w:shd w:val="clear" w:color="auto" w:fill="FFFFFF"/>
        </w:rPr>
        <w:t xml:space="preserve">/13., 152/14., 70/17., 126/19., 126/19., 80/22., 36/24.) </w:t>
      </w:r>
      <w:proofErr w:type="gramStart"/>
      <w:r w:rsidRPr="009E4446">
        <w:rPr>
          <w:rFonts w:ascii="Arial" w:hAnsi="Arial" w:cs="Arial"/>
          <w:color w:val="484848"/>
          <w:sz w:val="21"/>
          <w:szCs w:val="21"/>
          <w:shd w:val="clear" w:color="auto" w:fill="FFFFFF"/>
        </w:rPr>
        <w:t>od</w:t>
      </w:r>
      <w:proofErr w:type="gram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članka</w:t>
      </w:r>
      <w:proofErr w:type="spellEnd"/>
      <w:r w:rsidRPr="009E4446">
        <w:rPr>
          <w:rFonts w:ascii="Arial" w:hAnsi="Arial" w:cs="Arial"/>
          <w:color w:val="484848"/>
          <w:sz w:val="21"/>
          <w:szCs w:val="21"/>
          <w:shd w:val="clear" w:color="auto" w:fill="FFFFFF"/>
        </w:rPr>
        <w:t xml:space="preserve"> 145. </w:t>
      </w:r>
      <w:proofErr w:type="gramStart"/>
      <w:r w:rsidRPr="009E4446">
        <w:rPr>
          <w:rFonts w:ascii="Arial" w:hAnsi="Arial" w:cs="Arial"/>
          <w:color w:val="484848"/>
          <w:sz w:val="21"/>
          <w:szCs w:val="21"/>
          <w:shd w:val="clear" w:color="auto" w:fill="FFFFFF"/>
        </w:rPr>
        <w:t>do</w:t>
      </w:r>
      <w:proofErr w:type="gramEnd"/>
      <w:r w:rsidRPr="009E4446">
        <w:rPr>
          <w:rFonts w:ascii="Arial" w:hAnsi="Arial" w:cs="Arial"/>
          <w:color w:val="484848"/>
          <w:sz w:val="21"/>
          <w:szCs w:val="21"/>
          <w:shd w:val="clear" w:color="auto" w:fill="FFFFFF"/>
        </w:rPr>
        <w:t xml:space="preserve"> 152.</w:t>
      </w:r>
    </w:p>
    <w:p w:rsidR="009E4446" w:rsidRPr="009E4446" w:rsidRDefault="009E4446" w:rsidP="009E4446">
      <w:pPr>
        <w:jc w:val="both"/>
        <w:rPr>
          <w:rFonts w:ascii="Arial" w:hAnsi="Arial" w:cs="Arial"/>
          <w:color w:val="484848"/>
          <w:sz w:val="21"/>
          <w:szCs w:val="21"/>
          <w:shd w:val="clear" w:color="auto" w:fill="FFFFFF"/>
        </w:rPr>
      </w:pPr>
    </w:p>
    <w:p w:rsidR="009E4446" w:rsidRPr="009E4446" w:rsidRDefault="009E4446" w:rsidP="009E4446">
      <w:pPr>
        <w:jc w:val="both"/>
        <w:rPr>
          <w:rFonts w:ascii="Arial" w:hAnsi="Arial" w:cs="Arial"/>
          <w:color w:val="484848"/>
          <w:sz w:val="21"/>
          <w:szCs w:val="21"/>
          <w:shd w:val="clear" w:color="auto" w:fill="FFFFFF"/>
        </w:rPr>
      </w:pPr>
      <w:proofErr w:type="spellStart"/>
      <w:proofErr w:type="gramStart"/>
      <w:r w:rsidRPr="009E4446">
        <w:rPr>
          <w:rFonts w:ascii="Arial" w:hAnsi="Arial" w:cs="Arial"/>
          <w:color w:val="484848"/>
          <w:sz w:val="21"/>
          <w:szCs w:val="21"/>
          <w:shd w:val="clear" w:color="auto" w:fill="FFFFFF"/>
        </w:rPr>
        <w:t>Zakon</w:t>
      </w:r>
      <w:proofErr w:type="spellEnd"/>
      <w:r w:rsidRPr="009E4446">
        <w:rPr>
          <w:rFonts w:ascii="Arial" w:hAnsi="Arial" w:cs="Arial"/>
          <w:color w:val="484848"/>
          <w:sz w:val="21"/>
          <w:szCs w:val="21"/>
          <w:shd w:val="clear" w:color="auto" w:fill="FFFFFF"/>
        </w:rPr>
        <w:t xml:space="preserve"> o </w:t>
      </w:r>
      <w:proofErr w:type="spellStart"/>
      <w:r w:rsidRPr="009E4446">
        <w:rPr>
          <w:rFonts w:ascii="Arial" w:hAnsi="Arial" w:cs="Arial"/>
          <w:color w:val="484848"/>
          <w:sz w:val="21"/>
          <w:szCs w:val="21"/>
          <w:shd w:val="clear" w:color="auto" w:fill="FFFFFF"/>
        </w:rPr>
        <w:t>parničnom</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postupku</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Službeni</w:t>
      </w:r>
      <w:proofErr w:type="spellEnd"/>
      <w:r w:rsidRPr="009E4446">
        <w:rPr>
          <w:rFonts w:ascii="Arial" w:hAnsi="Arial" w:cs="Arial"/>
          <w:color w:val="484848"/>
          <w:sz w:val="21"/>
          <w:szCs w:val="21"/>
          <w:shd w:val="clear" w:color="auto" w:fill="FFFFFF"/>
        </w:rPr>
        <w:t xml:space="preserve"> list SFRJ" br. 4/77., 36/77., 36/80., 6/80., 69/82., 43/82., 58/84., 74/87., 57/89., 20/90., 27/90., 35/91., "</w:t>
      </w:r>
      <w:proofErr w:type="spellStart"/>
      <w:r w:rsidRPr="009E4446">
        <w:rPr>
          <w:rFonts w:ascii="Arial" w:hAnsi="Arial" w:cs="Arial"/>
          <w:color w:val="484848"/>
          <w:sz w:val="21"/>
          <w:szCs w:val="21"/>
          <w:shd w:val="clear" w:color="auto" w:fill="FFFFFF"/>
        </w:rPr>
        <w:t>Narodne</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novine</w:t>
      </w:r>
      <w:proofErr w:type="spellEnd"/>
      <w:r w:rsidRPr="009E4446">
        <w:rPr>
          <w:rFonts w:ascii="Arial" w:hAnsi="Arial" w:cs="Arial"/>
          <w:color w:val="484848"/>
          <w:sz w:val="21"/>
          <w:szCs w:val="21"/>
          <w:shd w:val="clear" w:color="auto" w:fill="FFFFFF"/>
        </w:rPr>
        <w:t xml:space="preserve">" br. 53/91., 91/92., 112/99., 129/00., 88/01., 117/03., 88/05., 2/07., 96/08., 84/08., 123/08., 57/11., 148/11. - </w:t>
      </w:r>
      <w:proofErr w:type="spellStart"/>
      <w:r w:rsidRPr="009E4446">
        <w:rPr>
          <w:rFonts w:ascii="Arial" w:hAnsi="Arial" w:cs="Arial"/>
          <w:color w:val="484848"/>
          <w:sz w:val="21"/>
          <w:szCs w:val="21"/>
          <w:shd w:val="clear" w:color="auto" w:fill="FFFFFF"/>
        </w:rPr>
        <w:t>službeni</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pročišćeni</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tekst</w:t>
      </w:r>
      <w:proofErr w:type="spellEnd"/>
      <w:r w:rsidRPr="009E4446">
        <w:rPr>
          <w:rFonts w:ascii="Arial" w:hAnsi="Arial" w:cs="Arial"/>
          <w:color w:val="484848"/>
          <w:sz w:val="21"/>
          <w:szCs w:val="21"/>
          <w:shd w:val="clear" w:color="auto" w:fill="FFFFFF"/>
        </w:rPr>
        <w:t>, 25/13., 89/14., 70/19., 80/22., 114/22., 155/23.)</w:t>
      </w:r>
      <w:proofErr w:type="gramEnd"/>
    </w:p>
    <w:p w:rsidR="009E4446" w:rsidRPr="009E4446" w:rsidRDefault="009E4446" w:rsidP="009E4446">
      <w:pPr>
        <w:jc w:val="both"/>
        <w:rPr>
          <w:rFonts w:ascii="Arial" w:hAnsi="Arial" w:cs="Arial"/>
          <w:color w:val="484848"/>
          <w:sz w:val="21"/>
          <w:szCs w:val="21"/>
          <w:shd w:val="clear" w:color="auto" w:fill="FFFFFF"/>
        </w:rPr>
      </w:pPr>
    </w:p>
    <w:p w:rsidR="00745AA9" w:rsidRPr="005D41F4" w:rsidRDefault="009E4446" w:rsidP="005D41F4">
      <w:pPr>
        <w:jc w:val="both"/>
        <w:rPr>
          <w:rFonts w:ascii="Arial" w:hAnsi="Arial" w:cs="Arial"/>
        </w:rPr>
      </w:pPr>
      <w:proofErr w:type="spellStart"/>
      <w:r w:rsidRPr="009E4446">
        <w:rPr>
          <w:rFonts w:ascii="Arial" w:hAnsi="Arial" w:cs="Arial"/>
          <w:color w:val="484848"/>
          <w:sz w:val="21"/>
          <w:szCs w:val="21"/>
          <w:shd w:val="clear" w:color="auto" w:fill="FFFFFF"/>
        </w:rPr>
        <w:t>Zakon</w:t>
      </w:r>
      <w:proofErr w:type="spellEnd"/>
      <w:r w:rsidRPr="009E4446">
        <w:rPr>
          <w:rFonts w:ascii="Arial" w:hAnsi="Arial" w:cs="Arial"/>
          <w:color w:val="484848"/>
          <w:sz w:val="21"/>
          <w:szCs w:val="21"/>
          <w:shd w:val="clear" w:color="auto" w:fill="FFFFFF"/>
        </w:rPr>
        <w:t xml:space="preserve"> o </w:t>
      </w:r>
      <w:proofErr w:type="spellStart"/>
      <w:r w:rsidRPr="009E4446">
        <w:rPr>
          <w:rFonts w:ascii="Arial" w:hAnsi="Arial" w:cs="Arial"/>
          <w:color w:val="484848"/>
          <w:sz w:val="21"/>
          <w:szCs w:val="21"/>
          <w:shd w:val="clear" w:color="auto" w:fill="FFFFFF"/>
        </w:rPr>
        <w:t>obveznim</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odnosima</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Narodne</w:t>
      </w:r>
      <w:proofErr w:type="spell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novine</w:t>
      </w:r>
      <w:proofErr w:type="spellEnd"/>
      <w:r w:rsidRPr="009E4446">
        <w:rPr>
          <w:rFonts w:ascii="Arial" w:hAnsi="Arial" w:cs="Arial"/>
          <w:color w:val="484848"/>
          <w:sz w:val="21"/>
          <w:szCs w:val="21"/>
          <w:shd w:val="clear" w:color="auto" w:fill="FFFFFF"/>
        </w:rPr>
        <w:t xml:space="preserve">" br. 35/05., 41/08., 125/11., 78/15., 29/18., 126/21., 114/22., 156/22., 145/23., 155/23.) </w:t>
      </w:r>
      <w:proofErr w:type="gramStart"/>
      <w:r w:rsidRPr="009E4446">
        <w:rPr>
          <w:rFonts w:ascii="Arial" w:hAnsi="Arial" w:cs="Arial"/>
          <w:color w:val="484848"/>
          <w:sz w:val="21"/>
          <w:szCs w:val="21"/>
          <w:shd w:val="clear" w:color="auto" w:fill="FFFFFF"/>
        </w:rPr>
        <w:t>od</w:t>
      </w:r>
      <w:proofErr w:type="gramEnd"/>
      <w:r w:rsidRPr="009E4446">
        <w:rPr>
          <w:rFonts w:ascii="Arial" w:hAnsi="Arial" w:cs="Arial"/>
          <w:color w:val="484848"/>
          <w:sz w:val="21"/>
          <w:szCs w:val="21"/>
          <w:shd w:val="clear" w:color="auto" w:fill="FFFFFF"/>
        </w:rPr>
        <w:t xml:space="preserve"> </w:t>
      </w:r>
      <w:proofErr w:type="spellStart"/>
      <w:r w:rsidRPr="009E4446">
        <w:rPr>
          <w:rFonts w:ascii="Arial" w:hAnsi="Arial" w:cs="Arial"/>
          <w:color w:val="484848"/>
          <w:sz w:val="21"/>
          <w:szCs w:val="21"/>
          <w:shd w:val="clear" w:color="auto" w:fill="FFFFFF"/>
        </w:rPr>
        <w:t>članka</w:t>
      </w:r>
      <w:proofErr w:type="spellEnd"/>
      <w:r w:rsidRPr="009E4446">
        <w:rPr>
          <w:rFonts w:ascii="Arial" w:hAnsi="Arial" w:cs="Arial"/>
          <w:color w:val="484848"/>
          <w:sz w:val="21"/>
          <w:szCs w:val="21"/>
          <w:shd w:val="clear" w:color="auto" w:fill="FFFFFF"/>
        </w:rPr>
        <w:t xml:space="preserve"> 1. </w:t>
      </w:r>
      <w:proofErr w:type="gramStart"/>
      <w:r w:rsidRPr="009E4446">
        <w:rPr>
          <w:rFonts w:ascii="Arial" w:hAnsi="Arial" w:cs="Arial"/>
          <w:color w:val="484848"/>
          <w:sz w:val="21"/>
          <w:szCs w:val="21"/>
          <w:shd w:val="clear" w:color="auto" w:fill="FFFFFF"/>
        </w:rPr>
        <w:t>do</w:t>
      </w:r>
      <w:proofErr w:type="gramEnd"/>
      <w:r w:rsidRPr="009E4446">
        <w:rPr>
          <w:rFonts w:ascii="Arial" w:hAnsi="Arial" w:cs="Arial"/>
          <w:color w:val="484848"/>
          <w:sz w:val="21"/>
          <w:szCs w:val="21"/>
          <w:shd w:val="clear" w:color="auto" w:fill="FFFFFF"/>
        </w:rPr>
        <w:t xml:space="preserve"> 246.</w:t>
      </w:r>
    </w:p>
    <w:p w:rsidR="00745AA9" w:rsidRPr="00587DC9" w:rsidRDefault="00745AA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za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625578" w:rsidRPr="005D41F4" w:rsidRDefault="006F554A" w:rsidP="005D41F4">
      <w:pPr>
        <w:pStyle w:val="Odlomakpopisa"/>
        <w:ind w:left="4248"/>
        <w:rPr>
          <w:rFonts w:ascii="Arial" w:hAnsi="Arial" w:cs="Arial"/>
          <w:color w:val="000000"/>
          <w:sz w:val="24"/>
        </w:rPr>
      </w:pPr>
      <w:r>
        <w:rPr>
          <w:rFonts w:ascii="Arial" w:hAnsi="Arial" w:cs="Arial"/>
          <w:sz w:val="24"/>
        </w:rPr>
        <w:t xml:space="preserve">          </w:t>
      </w:r>
      <w:r w:rsidR="002F1915" w:rsidRPr="00587DC9">
        <w:rPr>
          <w:rFonts w:ascii="Arial" w:hAnsi="Arial" w:cs="Arial"/>
          <w:sz w:val="24"/>
        </w:rPr>
        <w:t xml:space="preserve">za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sectPr w:rsidR="00625578" w:rsidRPr="005D41F4"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13786"/>
    <w:rsid w:val="00227A2A"/>
    <w:rsid w:val="00235557"/>
    <w:rsid w:val="002A5D0F"/>
    <w:rsid w:val="002D3CFD"/>
    <w:rsid w:val="002E68FC"/>
    <w:rsid w:val="002F1915"/>
    <w:rsid w:val="00302699"/>
    <w:rsid w:val="00311751"/>
    <w:rsid w:val="00325D3D"/>
    <w:rsid w:val="00357D28"/>
    <w:rsid w:val="003B1C87"/>
    <w:rsid w:val="003D150B"/>
    <w:rsid w:val="003E0B2A"/>
    <w:rsid w:val="003F7124"/>
    <w:rsid w:val="0041490B"/>
    <w:rsid w:val="00416AA3"/>
    <w:rsid w:val="00416C13"/>
    <w:rsid w:val="00417B4A"/>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41F4"/>
    <w:rsid w:val="005D6435"/>
    <w:rsid w:val="005E0B77"/>
    <w:rsid w:val="005E2F1D"/>
    <w:rsid w:val="005F1647"/>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D7056"/>
    <w:rsid w:val="006E4624"/>
    <w:rsid w:val="006F554A"/>
    <w:rsid w:val="00713126"/>
    <w:rsid w:val="00714168"/>
    <w:rsid w:val="0072785C"/>
    <w:rsid w:val="00736D29"/>
    <w:rsid w:val="00745AA9"/>
    <w:rsid w:val="0074679E"/>
    <w:rsid w:val="007732F0"/>
    <w:rsid w:val="00782867"/>
    <w:rsid w:val="00795C4E"/>
    <w:rsid w:val="007A0D1C"/>
    <w:rsid w:val="007A41B2"/>
    <w:rsid w:val="007F6CF6"/>
    <w:rsid w:val="00812B7E"/>
    <w:rsid w:val="0083469B"/>
    <w:rsid w:val="00847B9A"/>
    <w:rsid w:val="00856500"/>
    <w:rsid w:val="008641D9"/>
    <w:rsid w:val="00882510"/>
    <w:rsid w:val="00887ABF"/>
    <w:rsid w:val="00891F79"/>
    <w:rsid w:val="009033D4"/>
    <w:rsid w:val="0090592B"/>
    <w:rsid w:val="0095005E"/>
    <w:rsid w:val="009523B7"/>
    <w:rsid w:val="00974574"/>
    <w:rsid w:val="009C23C4"/>
    <w:rsid w:val="009C4B52"/>
    <w:rsid w:val="009D5E71"/>
    <w:rsid w:val="009E4414"/>
    <w:rsid w:val="009E4446"/>
    <w:rsid w:val="00A17D6B"/>
    <w:rsid w:val="00A5191F"/>
    <w:rsid w:val="00A75896"/>
    <w:rsid w:val="00A82C5D"/>
    <w:rsid w:val="00A90705"/>
    <w:rsid w:val="00AC13F0"/>
    <w:rsid w:val="00AE6A48"/>
    <w:rsid w:val="00AF76A5"/>
    <w:rsid w:val="00B042A9"/>
    <w:rsid w:val="00B04638"/>
    <w:rsid w:val="00B04D91"/>
    <w:rsid w:val="00B33A80"/>
    <w:rsid w:val="00B5193F"/>
    <w:rsid w:val="00B53253"/>
    <w:rsid w:val="00B62E7E"/>
    <w:rsid w:val="00B63F94"/>
    <w:rsid w:val="00B822BD"/>
    <w:rsid w:val="00B92021"/>
    <w:rsid w:val="00B9398B"/>
    <w:rsid w:val="00B9645F"/>
    <w:rsid w:val="00B964A5"/>
    <w:rsid w:val="00BA51B5"/>
    <w:rsid w:val="00BC50DE"/>
    <w:rsid w:val="00BD4032"/>
    <w:rsid w:val="00BD4490"/>
    <w:rsid w:val="00C16150"/>
    <w:rsid w:val="00C176D9"/>
    <w:rsid w:val="00C430A2"/>
    <w:rsid w:val="00C5275B"/>
    <w:rsid w:val="00C625D1"/>
    <w:rsid w:val="00C70BE5"/>
    <w:rsid w:val="00C83E4C"/>
    <w:rsid w:val="00C864BE"/>
    <w:rsid w:val="00C927D1"/>
    <w:rsid w:val="00CA7784"/>
    <w:rsid w:val="00CC3E96"/>
    <w:rsid w:val="00CE367E"/>
    <w:rsid w:val="00CE7643"/>
    <w:rsid w:val="00CF13F7"/>
    <w:rsid w:val="00CF26A1"/>
    <w:rsid w:val="00CF7B02"/>
    <w:rsid w:val="00D4501C"/>
    <w:rsid w:val="00D91463"/>
    <w:rsid w:val="00DA03F4"/>
    <w:rsid w:val="00DB052E"/>
    <w:rsid w:val="00DE3876"/>
    <w:rsid w:val="00E02265"/>
    <w:rsid w:val="00E163C5"/>
    <w:rsid w:val="00E22502"/>
    <w:rsid w:val="00E47DFD"/>
    <w:rsid w:val="00E95465"/>
    <w:rsid w:val="00EC2F27"/>
    <w:rsid w:val="00EC70A1"/>
    <w:rsid w:val="00ED6DCA"/>
    <w:rsid w:val="00ED6E21"/>
    <w:rsid w:val="00EF4A74"/>
    <w:rsid w:val="00F1566E"/>
    <w:rsid w:val="00F23AE4"/>
    <w:rsid w:val="00F24693"/>
    <w:rsid w:val="00F2661E"/>
    <w:rsid w:val="00F34D15"/>
    <w:rsid w:val="00F54C05"/>
    <w:rsid w:val="00F5556A"/>
    <w:rsid w:val="00F55980"/>
    <w:rsid w:val="00F653A1"/>
    <w:rsid w:val="00F91E1F"/>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1695"/>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semiHidden/>
    <w:unhideWhenUsed/>
    <w:rsid w:val="00812B7E"/>
    <w:rPr>
      <w:szCs w:val="20"/>
    </w:rPr>
  </w:style>
  <w:style w:type="character" w:customStyle="1" w:styleId="TekstfusnoteChar">
    <w:name w:val="Tekst fusnote Char"/>
    <w:basedOn w:val="Zadanifontodlomka"/>
    <w:link w:val="Tekstfusnote"/>
    <w:uiPriority w:val="99"/>
    <w:semiHidden/>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 w:type="character" w:styleId="Hiperveza">
    <w:name w:val="Hyperlink"/>
    <w:basedOn w:val="Zadanifontodlomka"/>
    <w:uiPriority w:val="99"/>
    <w:semiHidden/>
    <w:unhideWhenUsed/>
    <w:rsid w:val="0083469B"/>
    <w:rPr>
      <w:color w:val="0563C1"/>
      <w:u w:val="single"/>
    </w:rPr>
  </w:style>
  <w:style w:type="character" w:customStyle="1" w:styleId="highlighted">
    <w:name w:val="highlighted"/>
    <w:basedOn w:val="Zadanifontodlomka"/>
    <w:rsid w:val="009E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612245520">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 w:id="15415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0724C-D451-4686-B408-E21F82DC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619</Words>
  <Characters>3533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65</cp:revision>
  <cp:lastPrinted>2022-11-03T08:37:00Z</cp:lastPrinted>
  <dcterms:created xsi:type="dcterms:W3CDTF">2019-11-04T08:50:00Z</dcterms:created>
  <dcterms:modified xsi:type="dcterms:W3CDTF">2024-11-13T12:22:00Z</dcterms:modified>
</cp:coreProperties>
</file>