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horzAnchor="margin" w:tblpY="1116"/>
        <w:tblW w:w="0" w:type="auto"/>
        <w:tblLook w:val="04A0" w:firstRow="1" w:lastRow="0" w:firstColumn="1" w:lastColumn="0" w:noHBand="0" w:noVBand="1"/>
      </w:tblPr>
      <w:tblGrid>
        <w:gridCol w:w="2369"/>
        <w:gridCol w:w="2315"/>
        <w:gridCol w:w="2344"/>
        <w:gridCol w:w="2034"/>
      </w:tblGrid>
      <w:tr w:rsidR="002B2F7A" w:rsidTr="00AC0A51">
        <w:trPr>
          <w:trHeight w:val="540"/>
        </w:trPr>
        <w:tc>
          <w:tcPr>
            <w:tcW w:w="2422" w:type="dxa"/>
          </w:tcPr>
          <w:p w:rsidR="002B2F7A" w:rsidRPr="00DB6C6C" w:rsidRDefault="002B2F7A" w:rsidP="00AC0A51">
            <w:pPr>
              <w:rPr>
                <w:i/>
              </w:rPr>
            </w:pPr>
            <w:bookmarkStart w:id="0" w:name="_GoBack"/>
            <w:bookmarkEnd w:id="0"/>
          </w:p>
        </w:tc>
        <w:tc>
          <w:tcPr>
            <w:tcW w:w="2372" w:type="dxa"/>
          </w:tcPr>
          <w:p w:rsidR="002B2F7A" w:rsidRPr="00A43143" w:rsidRDefault="002B2F7A" w:rsidP="00AC0A51">
            <w:pPr>
              <w:rPr>
                <w:b/>
              </w:rPr>
            </w:pPr>
            <w:r w:rsidRPr="00A43143">
              <w:rPr>
                <w:b/>
              </w:rPr>
              <w:t>Kazneni predmeti (sve vrste)</w:t>
            </w:r>
          </w:p>
        </w:tc>
        <w:tc>
          <w:tcPr>
            <w:tcW w:w="2398" w:type="dxa"/>
          </w:tcPr>
          <w:p w:rsidR="002B2F7A" w:rsidRPr="00A43143" w:rsidRDefault="002B2F7A" w:rsidP="00AC0A51">
            <w:pPr>
              <w:rPr>
                <w:b/>
              </w:rPr>
            </w:pPr>
            <w:r w:rsidRPr="00A43143">
              <w:rPr>
                <w:b/>
              </w:rPr>
              <w:t>Građanski predmeti (sve vrste)</w:t>
            </w:r>
          </w:p>
        </w:tc>
        <w:tc>
          <w:tcPr>
            <w:tcW w:w="2084" w:type="dxa"/>
          </w:tcPr>
          <w:p w:rsidR="002B2F7A" w:rsidRPr="00A43143" w:rsidRDefault="002B2F7A" w:rsidP="00AC0A51">
            <w:pPr>
              <w:rPr>
                <w:b/>
              </w:rPr>
            </w:pPr>
            <w:r w:rsidRPr="00A43143">
              <w:rPr>
                <w:b/>
              </w:rPr>
              <w:t>Ukupno</w:t>
            </w:r>
          </w:p>
        </w:tc>
      </w:tr>
      <w:tr w:rsidR="002B2F7A" w:rsidTr="00AC0A51">
        <w:trPr>
          <w:trHeight w:val="264"/>
        </w:trPr>
        <w:tc>
          <w:tcPr>
            <w:tcW w:w="2422" w:type="dxa"/>
          </w:tcPr>
          <w:p w:rsidR="002B2F7A" w:rsidRPr="00DB6C6C" w:rsidRDefault="002B2F7A" w:rsidP="00AC0A51">
            <w:r w:rsidRPr="00DB6C6C">
              <w:t>Neriješeno na početku</w:t>
            </w:r>
          </w:p>
        </w:tc>
        <w:tc>
          <w:tcPr>
            <w:tcW w:w="2372" w:type="dxa"/>
          </w:tcPr>
          <w:p w:rsidR="002B2F7A" w:rsidRDefault="002B2F7A" w:rsidP="00AC0A51">
            <w:r>
              <w:t>547</w:t>
            </w:r>
          </w:p>
        </w:tc>
        <w:tc>
          <w:tcPr>
            <w:tcW w:w="2398" w:type="dxa"/>
          </w:tcPr>
          <w:p w:rsidR="002B2F7A" w:rsidRDefault="002B2F7A" w:rsidP="00AC0A51">
            <w:r>
              <w:t>906</w:t>
            </w:r>
          </w:p>
        </w:tc>
        <w:tc>
          <w:tcPr>
            <w:tcW w:w="2084" w:type="dxa"/>
          </w:tcPr>
          <w:p w:rsidR="002B2F7A" w:rsidRDefault="002B2F7A" w:rsidP="002B2F7A">
            <w:r>
              <w:t>1453</w:t>
            </w:r>
          </w:p>
        </w:tc>
      </w:tr>
      <w:tr w:rsidR="002B2F7A" w:rsidTr="00AC0A51">
        <w:trPr>
          <w:trHeight w:val="264"/>
        </w:trPr>
        <w:tc>
          <w:tcPr>
            <w:tcW w:w="2422" w:type="dxa"/>
          </w:tcPr>
          <w:p w:rsidR="002B2F7A" w:rsidRPr="00DB6C6C" w:rsidRDefault="002B2F7A" w:rsidP="00AC0A51">
            <w:r w:rsidRPr="00DB6C6C">
              <w:t>Primljeni predmeti</w:t>
            </w:r>
          </w:p>
        </w:tc>
        <w:tc>
          <w:tcPr>
            <w:tcW w:w="2372" w:type="dxa"/>
          </w:tcPr>
          <w:p w:rsidR="002B2F7A" w:rsidRDefault="002B2F7A" w:rsidP="00AC0A51">
            <w:r>
              <w:t>408</w:t>
            </w:r>
          </w:p>
        </w:tc>
        <w:tc>
          <w:tcPr>
            <w:tcW w:w="2398" w:type="dxa"/>
          </w:tcPr>
          <w:p w:rsidR="002B2F7A" w:rsidRDefault="002B2F7A" w:rsidP="00AC0A51">
            <w:r>
              <w:t>276</w:t>
            </w:r>
          </w:p>
        </w:tc>
        <w:tc>
          <w:tcPr>
            <w:tcW w:w="2084" w:type="dxa"/>
          </w:tcPr>
          <w:p w:rsidR="002B2F7A" w:rsidRDefault="002B2F7A" w:rsidP="00AC0A51">
            <w:r>
              <w:t>684</w:t>
            </w:r>
          </w:p>
        </w:tc>
      </w:tr>
      <w:tr w:rsidR="002B2F7A" w:rsidTr="00AC0A51">
        <w:trPr>
          <w:trHeight w:val="264"/>
        </w:trPr>
        <w:tc>
          <w:tcPr>
            <w:tcW w:w="2422" w:type="dxa"/>
          </w:tcPr>
          <w:p w:rsidR="002B2F7A" w:rsidRPr="00DB6C6C" w:rsidRDefault="002B2F7A" w:rsidP="00AC0A51">
            <w:r w:rsidRPr="00DB6C6C">
              <w:t>Riješeni predmeti</w:t>
            </w:r>
          </w:p>
        </w:tc>
        <w:tc>
          <w:tcPr>
            <w:tcW w:w="2372" w:type="dxa"/>
          </w:tcPr>
          <w:p w:rsidR="002B2F7A" w:rsidRDefault="002B2F7A" w:rsidP="00AC0A51">
            <w:r>
              <w:t>401</w:t>
            </w:r>
          </w:p>
        </w:tc>
        <w:tc>
          <w:tcPr>
            <w:tcW w:w="2398" w:type="dxa"/>
          </w:tcPr>
          <w:p w:rsidR="002B2F7A" w:rsidRDefault="002B2F7A" w:rsidP="00AC0A51">
            <w:r>
              <w:t>311</w:t>
            </w:r>
          </w:p>
        </w:tc>
        <w:tc>
          <w:tcPr>
            <w:tcW w:w="2084" w:type="dxa"/>
          </w:tcPr>
          <w:p w:rsidR="002B2F7A" w:rsidRDefault="002B2F7A" w:rsidP="002B2F7A">
            <w:r>
              <w:t>712</w:t>
            </w:r>
          </w:p>
        </w:tc>
      </w:tr>
      <w:tr w:rsidR="002B2F7A" w:rsidTr="00AC0A51">
        <w:trPr>
          <w:trHeight w:val="276"/>
        </w:trPr>
        <w:tc>
          <w:tcPr>
            <w:tcW w:w="2422" w:type="dxa"/>
          </w:tcPr>
          <w:p w:rsidR="002B2F7A" w:rsidRPr="00DB6C6C" w:rsidRDefault="002B2F7A" w:rsidP="00AC0A51">
            <w:r w:rsidRPr="00DB6C6C">
              <w:t>Neriješeno na kraju</w:t>
            </w:r>
          </w:p>
        </w:tc>
        <w:tc>
          <w:tcPr>
            <w:tcW w:w="2372" w:type="dxa"/>
          </w:tcPr>
          <w:p w:rsidR="002B2F7A" w:rsidRDefault="002B2F7A" w:rsidP="00AC0A51">
            <w:r>
              <w:t>554</w:t>
            </w:r>
          </w:p>
        </w:tc>
        <w:tc>
          <w:tcPr>
            <w:tcW w:w="2398" w:type="dxa"/>
          </w:tcPr>
          <w:p w:rsidR="002B2F7A" w:rsidRDefault="002B2F7A" w:rsidP="00AC0A51">
            <w:r>
              <w:t>871</w:t>
            </w:r>
          </w:p>
        </w:tc>
        <w:tc>
          <w:tcPr>
            <w:tcW w:w="2084" w:type="dxa"/>
          </w:tcPr>
          <w:p w:rsidR="002B2F7A" w:rsidRDefault="002B2F7A" w:rsidP="002B2F7A">
            <w:r>
              <w:t>1425</w:t>
            </w:r>
          </w:p>
        </w:tc>
      </w:tr>
    </w:tbl>
    <w:p w:rsidR="002B2F7A" w:rsidRPr="004708A0" w:rsidRDefault="002B2F7A" w:rsidP="002B2F7A">
      <w:pPr>
        <w:rPr>
          <w:b/>
          <w:sz w:val="28"/>
          <w:szCs w:val="28"/>
        </w:rPr>
      </w:pPr>
      <w:r w:rsidRPr="004708A0">
        <w:rPr>
          <w:b/>
          <w:sz w:val="28"/>
          <w:szCs w:val="28"/>
        </w:rPr>
        <w:t>Rezultati ra</w:t>
      </w:r>
      <w:r>
        <w:rPr>
          <w:b/>
          <w:sz w:val="28"/>
          <w:szCs w:val="28"/>
        </w:rPr>
        <w:t>da Županijskog suda u Šibeniku za</w:t>
      </w:r>
      <w:r w:rsidRPr="004708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I. kvartal 2024</w:t>
      </w:r>
      <w:r w:rsidRPr="004708A0">
        <w:rPr>
          <w:b/>
          <w:sz w:val="28"/>
          <w:szCs w:val="28"/>
        </w:rPr>
        <w:t>. (1.</w:t>
      </w:r>
      <w:r>
        <w:rPr>
          <w:b/>
          <w:sz w:val="28"/>
          <w:szCs w:val="28"/>
        </w:rPr>
        <w:t>1.2024</w:t>
      </w:r>
      <w:r w:rsidRPr="004708A0">
        <w:rPr>
          <w:b/>
          <w:sz w:val="28"/>
          <w:szCs w:val="28"/>
        </w:rPr>
        <w:t>.-3</w:t>
      </w:r>
      <w:r>
        <w:rPr>
          <w:b/>
          <w:sz w:val="28"/>
          <w:szCs w:val="28"/>
        </w:rPr>
        <w:t>1.3.2024</w:t>
      </w:r>
      <w:r w:rsidRPr="004708A0">
        <w:rPr>
          <w:b/>
          <w:sz w:val="28"/>
          <w:szCs w:val="28"/>
        </w:rPr>
        <w:t>.)</w:t>
      </w:r>
    </w:p>
    <w:p w:rsidR="002B2F7A" w:rsidRDefault="002B2F7A" w:rsidP="002B2F7A"/>
    <w:p w:rsidR="00C9627B" w:rsidRDefault="00C9627B"/>
    <w:sectPr w:rsidR="00C9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7A"/>
    <w:rsid w:val="002B2F7A"/>
    <w:rsid w:val="00854DB0"/>
    <w:rsid w:val="00C9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46AD4-F32A-4968-BC40-330C3AEE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F7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B2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4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Antić</dc:creator>
  <cp:keywords/>
  <dc:description/>
  <cp:lastModifiedBy>Toni Krešimir Đugum</cp:lastModifiedBy>
  <cp:revision>2</cp:revision>
  <dcterms:created xsi:type="dcterms:W3CDTF">2024-04-12T08:10:00Z</dcterms:created>
  <dcterms:modified xsi:type="dcterms:W3CDTF">2024-04-12T08:10:00Z</dcterms:modified>
</cp:coreProperties>
</file>