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1" w:rsidRDefault="00595D81" w:rsidP="00AD6AFB">
      <w:pPr>
        <w:spacing w:line="240" w:lineRule="auto"/>
        <w:jc w:val="center"/>
        <w:rPr>
          <w:rFonts w:eastAsia="Calibri" w:cs="Arial"/>
          <w:spacing w:val="-10"/>
          <w:szCs w:val="24"/>
        </w:rPr>
      </w:pP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</w:r>
      <w:r>
        <w:rPr>
          <w:rFonts w:eastAsia="Calibri" w:cs="Arial"/>
          <w:spacing w:val="-10"/>
          <w:szCs w:val="24"/>
        </w:rPr>
        <w:tab/>
        <w:t xml:space="preserve">                                                                         Prilog I</w:t>
      </w:r>
    </w:p>
    <w:p w:rsidR="00D16CE2" w:rsidRPr="00D16CE2" w:rsidRDefault="00D16CE2" w:rsidP="00AD6AFB">
      <w:pPr>
        <w:spacing w:line="240" w:lineRule="auto"/>
        <w:jc w:val="center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2227"/>
        <w:gridCol w:w="1616"/>
        <w:gridCol w:w="1048"/>
        <w:gridCol w:w="1070"/>
        <w:gridCol w:w="1508"/>
        <w:gridCol w:w="1125"/>
      </w:tblGrid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RED. BR</w:t>
            </w:r>
          </w:p>
        </w:tc>
        <w:tc>
          <w:tcPr>
            <w:tcW w:w="2227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OPIS</w:t>
            </w:r>
          </w:p>
        </w:tc>
        <w:tc>
          <w:tcPr>
            <w:tcW w:w="1616" w:type="dxa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MARKA</w:t>
            </w: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KOLIČINA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JEDINIČNA</w:t>
            </w:r>
          </w:p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jc w:val="center"/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UKUPNA CIJENA €</w:t>
            </w: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227" w:type="dxa"/>
          </w:tcPr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 xml:space="preserve">STALNA SLUŽBA U ŽUPANJI  </w:t>
            </w:r>
            <w:r w:rsidR="00595D81">
              <w:rPr>
                <w:rFonts w:cs="Arial"/>
                <w:b/>
                <w:sz w:val="18"/>
                <w:szCs w:val="18"/>
              </w:rPr>
              <w:t>- Županja</w:t>
            </w:r>
          </w:p>
          <w:p w:rsidR="002F7372" w:rsidRPr="00D16CE2" w:rsidRDefault="002F7372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1</w:t>
            </w:r>
          </w:p>
        </w:tc>
        <w:tc>
          <w:tcPr>
            <w:tcW w:w="2227" w:type="dxa"/>
          </w:tcPr>
          <w:p w:rsidR="00595D81" w:rsidRDefault="00595D81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Redovan servis i pregled unutarnjih jedinica klimatiza</w:t>
            </w:r>
            <w:r w:rsidR="00AD6AFB">
              <w:rPr>
                <w:rFonts w:cs="Arial"/>
                <w:sz w:val="18"/>
                <w:szCs w:val="18"/>
              </w:rPr>
              <w:t>cijskih sustava uz dezinfekciju</w:t>
            </w:r>
          </w:p>
          <w:p w:rsidR="00AD6AFB" w:rsidRPr="00D16CE2" w:rsidRDefault="00AD6AFB" w:rsidP="00AD6AFB">
            <w:pPr>
              <w:spacing w:after="120"/>
              <w:rPr>
                <w:rFonts w:cs="Arial"/>
                <w:sz w:val="20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GREE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GORENJE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KOREL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EXCELLO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VIVAX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TOSHIBA</w:t>
            </w: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SMARTBOX</w:t>
            </w: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18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2</w:t>
            </w:r>
          </w:p>
        </w:tc>
        <w:tc>
          <w:tcPr>
            <w:tcW w:w="2227" w:type="dxa"/>
          </w:tcPr>
          <w:p w:rsidR="00595D81" w:rsidRDefault="00595D81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AD6AFB" w:rsidRPr="00AD6AFB" w:rsidRDefault="00A13E4E" w:rsidP="00AD6AFB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>Redovan se</w:t>
            </w:r>
            <w:r w:rsidR="00AD6AFB">
              <w:rPr>
                <w:rFonts w:cs="Arial"/>
                <w:sz w:val="18"/>
                <w:szCs w:val="18"/>
              </w:rPr>
              <w:t>rvis i pregled vanjskih jedinica</w:t>
            </w:r>
            <w:bookmarkStart w:id="0" w:name="_GoBack"/>
            <w:bookmarkEnd w:id="0"/>
          </w:p>
          <w:p w:rsidR="00A13E4E" w:rsidRPr="00D16CE2" w:rsidRDefault="00A13E4E" w:rsidP="00AD6AFB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18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227" w:type="dxa"/>
          </w:tcPr>
          <w:p w:rsidR="00A13E4E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  <w:p w:rsidR="00A13E4E" w:rsidRPr="00D16CE2" w:rsidRDefault="00A13E4E" w:rsidP="00D16CE2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 xml:space="preserve">OPĆINSKI SUD U VINKOVCIMA </w:t>
            </w:r>
          </w:p>
          <w:p w:rsidR="00A13E4E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b/>
                <w:sz w:val="18"/>
                <w:szCs w:val="18"/>
              </w:rPr>
              <w:t>SJEDIŠTE SUDA – Vinkovci</w:t>
            </w:r>
            <w:r w:rsidRPr="00D16CE2">
              <w:rPr>
                <w:rFonts w:cs="Arial"/>
                <w:sz w:val="18"/>
                <w:szCs w:val="18"/>
              </w:rPr>
              <w:t xml:space="preserve"> 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D6AFB" w:rsidP="00D16CE2">
            <w:pPr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3</w:t>
            </w:r>
          </w:p>
        </w:tc>
        <w:tc>
          <w:tcPr>
            <w:tcW w:w="2227" w:type="dxa"/>
          </w:tcPr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 xml:space="preserve">Redovan servis i pregled unutarnjih jedinica klimatizacijskih sustava uz </w:t>
            </w:r>
            <w:r w:rsidR="00AD6AFB">
              <w:rPr>
                <w:rFonts w:cs="Arial"/>
                <w:sz w:val="18"/>
                <w:szCs w:val="18"/>
              </w:rPr>
              <w:t>dezinfekciju</w:t>
            </w:r>
          </w:p>
          <w:p w:rsidR="00A13E4E" w:rsidRPr="00D16CE2" w:rsidRDefault="00A13E4E" w:rsidP="00D16CE2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A13E4E" w:rsidRDefault="00A13E4E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GREE AIR CONDITIONER OUTDOOR UNIT </w:t>
            </w:r>
          </w:p>
          <w:p w:rsidR="00A13E4E" w:rsidRDefault="00A13E4E" w:rsidP="00D16CE2">
            <w:pPr>
              <w:rPr>
                <w:rFonts w:cs="Arial"/>
                <w:sz w:val="20"/>
              </w:rPr>
            </w:pP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595D81" w:rsidP="00D16CE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A13E4E" w:rsidP="00D16CE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D6AFB" w:rsidP="00D16CE2">
            <w:pPr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4</w:t>
            </w:r>
          </w:p>
        </w:tc>
        <w:tc>
          <w:tcPr>
            <w:tcW w:w="2227" w:type="dxa"/>
          </w:tcPr>
          <w:p w:rsidR="00A13E4E" w:rsidRPr="00D16CE2" w:rsidRDefault="00A13E4E" w:rsidP="00D16CE2">
            <w:pPr>
              <w:spacing w:after="120"/>
              <w:rPr>
                <w:rFonts w:cs="Arial"/>
                <w:sz w:val="18"/>
                <w:szCs w:val="18"/>
              </w:rPr>
            </w:pPr>
            <w:r w:rsidRPr="00D16CE2">
              <w:rPr>
                <w:rFonts w:cs="Arial"/>
                <w:sz w:val="18"/>
                <w:szCs w:val="18"/>
              </w:rPr>
              <w:t xml:space="preserve">Redovan servis i pregled vanjskih jedinica </w:t>
            </w:r>
            <w:r>
              <w:rPr>
                <w:rFonts w:cs="Arial"/>
                <w:sz w:val="18"/>
                <w:szCs w:val="18"/>
              </w:rPr>
              <w:t>VRV</w:t>
            </w:r>
            <w:r w:rsidR="00AD6AFB">
              <w:rPr>
                <w:rFonts w:cs="Arial"/>
                <w:sz w:val="18"/>
                <w:szCs w:val="18"/>
              </w:rPr>
              <w:t xml:space="preserve"> sustava</w:t>
            </w:r>
          </w:p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D16CE2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kom</w:t>
            </w:r>
          </w:p>
        </w:tc>
        <w:tc>
          <w:tcPr>
            <w:tcW w:w="1070" w:type="dxa"/>
          </w:tcPr>
          <w:p w:rsidR="00A13E4E" w:rsidRPr="00D16CE2" w:rsidRDefault="00595D81" w:rsidP="00D16CE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D6AFB" w:rsidP="00E6146D">
            <w:pPr>
              <w:rPr>
                <w:rFonts w:cs="Arial"/>
                <w:spacing w:val="-10"/>
                <w:sz w:val="20"/>
              </w:rPr>
            </w:pPr>
            <w:r>
              <w:rPr>
                <w:rFonts w:cs="Arial"/>
                <w:spacing w:val="-10"/>
                <w:sz w:val="20"/>
              </w:rPr>
              <w:t>5</w:t>
            </w:r>
          </w:p>
        </w:tc>
        <w:tc>
          <w:tcPr>
            <w:tcW w:w="2227" w:type="dxa"/>
          </w:tcPr>
          <w:p w:rsidR="00A13E4E" w:rsidRPr="00D16CE2" w:rsidRDefault="00A13E4E" w:rsidP="00AD6AFB">
            <w:pPr>
              <w:spacing w:after="120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 xml:space="preserve">Pregled komplet rada sustava </w:t>
            </w:r>
          </w:p>
        </w:tc>
        <w:tc>
          <w:tcPr>
            <w:tcW w:w="1616" w:type="dxa"/>
          </w:tcPr>
          <w:p w:rsidR="00A13E4E" w:rsidRPr="00D16CE2" w:rsidRDefault="00A13E4E" w:rsidP="00E6146D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</w:tcPr>
          <w:p w:rsidR="00A13E4E" w:rsidRPr="00D16CE2" w:rsidRDefault="00A13E4E" w:rsidP="00E6146D">
            <w:pPr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lokacija</w:t>
            </w:r>
          </w:p>
        </w:tc>
        <w:tc>
          <w:tcPr>
            <w:tcW w:w="1070" w:type="dxa"/>
          </w:tcPr>
          <w:p w:rsidR="00A13E4E" w:rsidRPr="00D16CE2" w:rsidRDefault="00A13E4E" w:rsidP="00E6146D">
            <w:pPr>
              <w:jc w:val="right"/>
              <w:rPr>
                <w:rFonts w:cs="Arial"/>
                <w:sz w:val="20"/>
              </w:rPr>
            </w:pPr>
            <w:r w:rsidRPr="00D16CE2">
              <w:rPr>
                <w:rFonts w:cs="Arial"/>
                <w:sz w:val="20"/>
              </w:rPr>
              <w:t>1</w:t>
            </w:r>
          </w:p>
        </w:tc>
        <w:tc>
          <w:tcPr>
            <w:tcW w:w="1508" w:type="dxa"/>
            <w:vAlign w:val="center"/>
          </w:tcPr>
          <w:p w:rsidR="00A13E4E" w:rsidRPr="00D16CE2" w:rsidRDefault="00A13E4E" w:rsidP="00E6146D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13E4E" w:rsidRPr="00D16CE2" w:rsidRDefault="00A13E4E" w:rsidP="00E6146D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22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18"/>
                <w:szCs w:val="18"/>
              </w:rPr>
            </w:pPr>
            <w:r w:rsidRPr="00D16CE2">
              <w:rPr>
                <w:rFonts w:cs="Arial"/>
                <w:spacing w:val="-10"/>
                <w:sz w:val="18"/>
                <w:szCs w:val="18"/>
              </w:rPr>
              <w:t>UKUPNO BEZ PDV €:</w:t>
            </w: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227" w:type="dxa"/>
            <w:vAlign w:val="center"/>
          </w:tcPr>
          <w:p w:rsidR="00A13E4E" w:rsidRDefault="00A13E4E" w:rsidP="00D16CE2">
            <w:pPr>
              <w:rPr>
                <w:rFonts w:cs="Arial"/>
                <w:spacing w:val="-10"/>
                <w:sz w:val="20"/>
              </w:rPr>
            </w:pPr>
          </w:p>
          <w:p w:rsidR="00AD6AFB" w:rsidRPr="00D16CE2" w:rsidRDefault="00AD6AFB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PDV €:</w:t>
            </w: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  <w:tr w:rsidR="00A13E4E" w:rsidRPr="00D16CE2" w:rsidTr="00AD6AFB">
        <w:tc>
          <w:tcPr>
            <w:tcW w:w="694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2227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616" w:type="dxa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  <w:r w:rsidRPr="00D16CE2">
              <w:rPr>
                <w:rFonts w:cs="Arial"/>
                <w:spacing w:val="-10"/>
                <w:sz w:val="20"/>
              </w:rPr>
              <w:t>UKUPNO S PDV €:</w:t>
            </w:r>
          </w:p>
        </w:tc>
        <w:tc>
          <w:tcPr>
            <w:tcW w:w="1125" w:type="dxa"/>
            <w:vAlign w:val="center"/>
          </w:tcPr>
          <w:p w:rsidR="00A13E4E" w:rsidRPr="00D16CE2" w:rsidRDefault="00A13E4E" w:rsidP="00D16CE2">
            <w:pPr>
              <w:rPr>
                <w:rFonts w:cs="Arial"/>
                <w:spacing w:val="-10"/>
                <w:sz w:val="20"/>
              </w:rPr>
            </w:pPr>
          </w:p>
        </w:tc>
      </w:tr>
    </w:tbl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>Datum: ________________________</w:t>
      </w: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ab/>
      </w:r>
      <w:r w:rsidR="00595D81">
        <w:rPr>
          <w:rFonts w:eastAsia="Calibri" w:cs="Arial"/>
          <w:spacing w:val="-10"/>
          <w:szCs w:val="24"/>
        </w:rPr>
        <w:t xml:space="preserve">   </w:t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="00595D81">
        <w:rPr>
          <w:rFonts w:eastAsia="Calibri" w:cs="Arial"/>
          <w:spacing w:val="-10"/>
          <w:szCs w:val="24"/>
        </w:rPr>
        <w:t xml:space="preserve">           </w:t>
      </w:r>
      <w:r w:rsidRPr="00D16CE2">
        <w:rPr>
          <w:rFonts w:eastAsia="Calibri" w:cs="Arial"/>
          <w:spacing w:val="-10"/>
          <w:szCs w:val="24"/>
        </w:rPr>
        <w:t xml:space="preserve">Potpis i pečat ponuditelja </w:t>
      </w: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</w:p>
    <w:p w:rsidR="00D16CE2" w:rsidRPr="00D16CE2" w:rsidRDefault="00D16CE2" w:rsidP="00D16CE2">
      <w:pPr>
        <w:spacing w:after="0" w:line="240" w:lineRule="auto"/>
        <w:rPr>
          <w:rFonts w:eastAsia="Calibri" w:cs="Arial"/>
          <w:spacing w:val="-10"/>
          <w:szCs w:val="24"/>
        </w:rPr>
      </w:pP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</w:r>
      <w:r w:rsidRPr="00D16CE2">
        <w:rPr>
          <w:rFonts w:eastAsia="Calibri" w:cs="Arial"/>
          <w:spacing w:val="-10"/>
          <w:szCs w:val="24"/>
        </w:rPr>
        <w:tab/>
        <w:t>_____________________</w:t>
      </w:r>
    </w:p>
    <w:p w:rsidR="00B05FC1" w:rsidRDefault="00B05FC1"/>
    <w:sectPr w:rsidR="00B05FC1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58" w:rsidRDefault="006B2958">
      <w:pPr>
        <w:spacing w:after="0" w:line="240" w:lineRule="auto"/>
      </w:pPr>
      <w:r>
        <w:separator/>
      </w:r>
    </w:p>
  </w:endnote>
  <w:endnote w:type="continuationSeparator" w:id="0">
    <w:p w:rsidR="006B2958" w:rsidRDefault="006B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6B29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6B29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6B29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58" w:rsidRDefault="006B2958">
      <w:pPr>
        <w:spacing w:after="0" w:line="240" w:lineRule="auto"/>
      </w:pPr>
      <w:r>
        <w:separator/>
      </w:r>
    </w:p>
  </w:footnote>
  <w:footnote w:type="continuationSeparator" w:id="0">
    <w:p w:rsidR="006B2958" w:rsidRDefault="006B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6B29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E7" w:rsidRPr="002F38E9" w:rsidRDefault="006B2958" w:rsidP="002F38E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E9" w:rsidRDefault="006B29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2"/>
    <w:rsid w:val="00004A87"/>
    <w:rsid w:val="002F7372"/>
    <w:rsid w:val="004678C1"/>
    <w:rsid w:val="00595D81"/>
    <w:rsid w:val="00666791"/>
    <w:rsid w:val="006B2958"/>
    <w:rsid w:val="00A13E4E"/>
    <w:rsid w:val="00AD6AFB"/>
    <w:rsid w:val="00B05FC1"/>
    <w:rsid w:val="00D16CE2"/>
    <w:rsid w:val="00D622DE"/>
    <w:rsid w:val="00F0513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CE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CE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D16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CE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1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CE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D16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2023-10-02T06:49:00Z</cp:lastPrinted>
  <dcterms:created xsi:type="dcterms:W3CDTF">2023-10-02T06:50:00Z</dcterms:created>
  <dcterms:modified xsi:type="dcterms:W3CDTF">2023-10-02T06:50:00Z</dcterms:modified>
</cp:coreProperties>
</file>