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B" w:rsidRDefault="00D24A02" w:rsidP="00D24A02">
      <w:r>
        <w:rPr>
          <w:rFonts w:ascii="Arial" w:hAnsi="Arial" w:cs="Arial"/>
          <w:color w:val="000000"/>
          <w:sz w:val="18"/>
          <w:szCs w:val="18"/>
        </w:rPr>
        <w:t xml:space="preserve">Na temelju članka 107. Zakona o sudovima (»Narodne novine«, broj 150/05) Vijeće kojega čine predsjednici svih Sudačkih vijeća u Republici Hrvatskoj je na sjednici održanoj na Vrhovnom sudu Republike Hrvatske 26. listopada 2006. godine, donijelo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KODEKS SUDAČKE ETIKE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Radi ostvarenja najviših vrijednosti ustavnog poretka Republike Hrvatske – vladavine prava, ustavnosti i zakonitosti, humanosti i etike, zaštite ljudskih prava i sloboda;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ostvarenja neovisnosti, nepristranosti, stručnosti, jednakosti i dostojanstva sudačkog poziva;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jačanja svijesti o osobnoj i profesionalnoj odgovornosti, savjesnosti i učinkovitosti u obnašanju sudačke dužnosti;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stalnog razvijanja i unapređivanja međuljudskih odnosa sudaca, kao i odnosa prema zaposlenicima i sudionicima sudskih postupaka;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promicanja načela visokih etičkih standarda,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zakonitog i pravodobnog pružanja pravne zaštite građanima, pravnim osobama i svim drugim ovlaštenim sudionicima postupka,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radi jačanja povjerenja javnosti u pravednost i učinkovitost sudačkog poziva;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uzimajući u obzir međunarodna načela sadržana u: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Općoj deklaraciji o ljudskim pravima Opće skupštine Ujedinjenih naroda (Rezolucija broj 217A (III) od 10. prosinca 1948.);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Rezoluciji Ujedinjenih naroda »Temeljna načela neovisnosti sudstva« iz 1985. godine;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Rezoluciji Ujedinjenih naroda »Ljudska prava i pravosuđe« od 22. listopada 1993. broj 50/181 i 20. prosinca 1993. broj 48/137;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Deklaraciji o pravima i odgovornostima pojedinaca, grupa i društvenih tijela za promicanje i zaštitu prihvaćenih ljudskih prava i temeljnih sloboda (Rezolucija Opće skupštine Ujedinjenih naroda 53/44 usvojena 8. ožujka 1999.);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Preporuci Vijeća Europe broj R (94) 12 o neovisnosti, nepristranosti, učinkovitosti i ulozi sudaca;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Bangalorškim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načelima ponašanja sudaca;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– Europskoj povelji o zakonima za suce usvojenoj od 8. do 10. srpnja 1998. u Vijeću Europe; </w:t>
      </w:r>
      <w:r>
        <w:rPr>
          <w:rFonts w:ascii="Arial" w:hAnsi="Arial" w:cs="Arial"/>
          <w:color w:val="000000"/>
          <w:sz w:val="18"/>
          <w:szCs w:val="18"/>
        </w:rPr>
        <w:br/>
        <w:t xml:space="preserve">kao i drugim dokumentima međunarodne zajednice,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Kodeks sudačke etike određuje: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1. Kodeks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Kodeks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sudačke etike skup je etičkih načela nužnih za uspješno obnašanje sudačke dužnosti.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Ustavnost i zakonitost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Dužnost je suca suditi po Ustavu, zakonu i na osnovi međunarodnih ugovora koji su dio pravnog poretka Republike Hrvatske te primjenjivati i druge propise koji su donijeti sukladno Ustavu, međunarodnim ugovorima ili zakonima Republike Hrvatske.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Humanost i etika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se u profesionalnom postupanju i u privatnom životu mora ponašati humano te primjenjivati najviša etička načela u skladu sa standardima profesionalne i opće kulture.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Neovisnost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postupati neovisno u odnosu na društvo, društvene skupine i pojedince te je dužan postupati i odlučivati samo u skladu sa savjesnim tumačenjem i primjenom propisa.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Nepristranost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mora obnašati svoju dužnost nepristrano i bez predrasuda ili naklonosti u odnosu na rasu, boju kože, vjeru, nacionalnu pripadnost, životnu dob, bračni status, spolnu orijentaciju, socijalni i imovinski položaj, političku opredijeljenost i svaku drugu različitost.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suzdržati se od davanja izjava ili komentara kojima bi se u postupku mogla narušiti pravičnost suđenja i stvoriti dojam pristranosti.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Stručnost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Od suca se traži visoka razina znanja u poznavanja prava i njegove primjene kako bi bio sposoban stručno obnašati sudačku dužnost.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ima pravo i dužnost sudjelovati u ponuđenim programima stručnog usavršavanja.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7. Jednakost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U obnašanju sudačke dužnosti sudac je dužan pristojno, obzirno, s poštovanjem i na jednaki način odnositi se prema svim sudionicima sudskog postupka.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Jednako postupanje prema svim sudionicima postupka sudac će zahtijevati i od zaposlenika u sudu i svih drugih koji su pod njegovim službenim utjecajem.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8. Dostojanstvo sudačkog poziva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obnašanjem sudačke dužnosti i aktivnostima izvan suda razvijati standarde ponašanja koji pridonose očuvanju ugleda i dostojanstva suda i sudačkog poziva.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mora izbjegavati svako ponašanje koje je nedostojno i koje stvara dojam nedoličnosti sudačkom položaju, prihvaćajući i ona ograničenja koja bi se drugim građanima činila opterećujućima.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čuvati ugled sudačkog poziva i položaja kroz pisanu i izgovorenu riječ.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U obnašanju dužnosti predsjednika suda ili predsjednika odjela sudac ne smije stvarati ozračje vlastite nadređenosti.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ne smije obavljati ni jednu javnu ili privatnu, plaćenu ili neplaćenu dužnost, koja nije u skladu s položajem suca.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ne smije dopustiti da njegova obitelj neprilično utječe na njegovo postupanje i odlučivanje u obavljanju sudačkog poziva.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se ne smije koristiti ugledom svog poziva kako bi ostvario ili unaprijedio svoje privatne interese, interese članova svoje obitelji ili bilo čije druge interese.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ne smije dopustiti da članovi njegove obitelji, zaposlenici u sudu ili bilo tko drugi podređen autoritetu sudačke dužnosti prihvati dar, zajam ili uslugu za ono što bi sudac u obnašanju svoje dužnosti učinio ili propustio učiniti.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se izvan sudačke dužnosti ne smije baviti davanjem pravnih savjeta ili pružanjem pravne pomoći.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ni nakon prestanka sudačke dužnosti, osim ako to ne zahtijevaju pravila postupka, ne smije djelovati u bilo kojem svojstvu u predmetu u kojem je postupao za vrijeme obnašanja sudačke dužnosti, kao ni u predmetima koji su u svezi s tim predmetom.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 Odgovornost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predmete kojima je zadužen rješavati redoslijedom tako da ne daje prednost nekoj od stranaka u postupku.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paziti da u njegovu radu na pojedinim predmetima nema nepotrebnog zastoja te je dužan u najkraćem mogućem roku provesti postupak u kojem odlučuje.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odgovoran za racionalno raspoređivanje posla u okvirima pune iskorištenosti radnog vremena.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ne smije otkriti povjerljive obavijesti za koje sazna tijekom obnašanja dužnosti, osim ako to zahtijeva službena dužnost.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Marljivost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uložiti sav svoj trud i znanje u ostvarenje najboljih radnih rezultata, pazeći pritom da količina ostvarenih zadataka ne bude na štetu njihove kvalitete.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u skladu sa svojim mogućnostima i interesima posvetiti se ne samo radnim zadacima i odgovornostima vezanima za sud i donošenje sudskih odluka, već i drugim zadacima važnima za sudački poziv i funkcioniranje suda.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Izvansudske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aktivnosti suca ne smiju ometati njegovo redovito i uredno obnašanje sudačke dužnosti.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11. Sloboda udruživanja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Suci imaju pravo osnivati strukovne udruge i sudjelovati u radu tih udruga koje će, radi zaštite i promicanja sudačkog poziva, zastupati njihove interese te štititi njihovu neovisnost i položaj sudbene vlasti.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12. Odnos prema javnosti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u javnim istupima promicati ugled sudačkog poziva.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Sucu je zabranjeno iznositi mišljenje o određenim sudskim postupcima koji su u tijeku i o odlukama sudova u tim postupcima.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može sudjelovati u javnim raspravama o pravu, pravnom sustavu i funkcioniranju pravosuđa.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Kada nastupa u javnosti ili kada komentira društvene pojave putem javnih glasila, pisanih članaka, radio ili televizijskih programa, na javnim skupovima, predavanjima i slično, sudac mora nastojati da njegov nastup bude utemeljen na propisima, a izneseni stavovi i njegovo sveukupno ponašanje u skladu s odredbama ovog Kodeksa.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treba izbjegavati isticanje svoje osobe te izražavanje svojih stavova i mišljenja tijekom i u povodu postupka, osobito putem medija.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13. Odnos prema sucima i zaposlenicima u sudu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Suci su dužni korektno se odnositi prema svim zaposlenicima u sudu.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Suci su dužni međusobno razvijati i održavati dobre kolegijalne odnose i stručnu suradnju.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pomagati sudskim savjetnicima u njihovom stručnom usavršavanju.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sudačkim vježbenicima omogućiti usavršavanje pravnog znanja u sudskoj praksi, pri čemu treba nastojati da stečena znanja i primjena pravne teorije u praksi budu temeljiti.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Sudac je dužan kod sudskih savjetnika i sudačkih vježbenika razvijati razinu etičkog ponašanja u skladu s ovim Kodeksom.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14. Povrede Kodeksa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Poštivanje Kodeksa je sudačka obveza.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Svatko ima pravo ukazati na ponašanje suca suprotno odredbama ovog Kodeksa.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Predsjednik sudačkog vijeća suda u kojem sudac na kojeg se pritužba odnosi obnaša dužnost, izložit će pritužbu sudačkom vijeću.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Sudačko vijeće će sucu omogućiti da se očituje o pritužbi.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Ako sudačko vijeće utvrdi da je pritužba osnovana, donijet će odluku kojom utvrđuje povredu ovog Kodeksa.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Protiv odluke vijeća o povredi ovog Kodeksa sudac ima pravo prigovora u roku od osam dana od dostave odluke. O prigovoru odlučuje Vijeće iz članka 107. stavka 2. Zakona o sudovima, većinom glasova svih članova Vijeća.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Pravomoćna odluka dostavlja se predsjedniku suda u kojem sudac obnaša dužnost.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Odredbe o povredama ovog Kodeksa u primjeni su na kršenja odredaba Kodeksa nastala nakon njegovog stupanja na snagu.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15. Završne odredbe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Ovaj Kodeks prihvaćen je na sjednici Vijeća predsjednika sudačkih vijeća Republike Hrvatske dana 26. listopada 2006. te je istog dana stupio na snagu, a bit će objavljen u Narodnim novinama.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Zagreb, 26. listopada 2006.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Predsjednica Sudačkog vijeća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Vrhovnog suda Republike Hrvatske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Davorka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Lukanović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-Ivanišević, dipl.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v. r.</w:t>
      </w:r>
      <w:bookmarkStart w:id="0" w:name="_GoBack"/>
      <w:bookmarkEnd w:id="0"/>
    </w:p>
    <w:sectPr w:rsidR="0038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2"/>
    <w:rsid w:val="0038002B"/>
    <w:rsid w:val="00D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3AA7B-4513-43E6-A6EA-4D83B8A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1</cp:revision>
  <dcterms:created xsi:type="dcterms:W3CDTF">2019-10-16T06:23:00Z</dcterms:created>
  <dcterms:modified xsi:type="dcterms:W3CDTF">2019-10-16T06:24:00Z</dcterms:modified>
</cp:coreProperties>
</file>