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6"/>
        <w:gridCol w:w="5818"/>
      </w:tblGrid>
      <w:tr w:rsidR="00322C61" w:rsidRPr="00322C61" w:rsidTr="00322C61">
        <w:trPr>
          <w:trHeight w:val="377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Razdjel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MINISTARSTVO PRAVOSUĐA I UPRAVE</w:t>
            </w:r>
          </w:p>
        </w:tc>
      </w:tr>
      <w:tr w:rsidR="00322C61" w:rsidRPr="00322C61" w:rsidTr="00322C61">
        <w:trPr>
          <w:trHeight w:val="290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Glava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D20688" w:rsidP="00CC7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10965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ŽUPANIJ</w:t>
            </w:r>
            <w:r w:rsidR="00CC7B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SKI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SUDOVI</w:t>
            </w:r>
          </w:p>
        </w:tc>
      </w:tr>
      <w:tr w:rsidR="00322C61" w:rsidRPr="00322C61" w:rsidTr="00322C61">
        <w:trPr>
          <w:trHeight w:val="842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RKP i naziv proračunskog korisnika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D20688" w:rsidP="00D20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3390</w:t>
            </w:r>
            <w:r w:rsidR="00CC7B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ŽUPANIJ</w:t>
            </w:r>
            <w:r w:rsidR="00CC7B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SKI SUD </w:t>
            </w:r>
            <w:r w:rsidR="00322C61"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 DUBROVNIKU</w:t>
            </w:r>
          </w:p>
        </w:tc>
      </w:tr>
      <w:tr w:rsidR="00322C61" w:rsidRPr="00322C61" w:rsidTr="00322C61">
        <w:trPr>
          <w:trHeight w:val="245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C61" w:rsidRPr="00322C61" w:rsidRDefault="00322C61" w:rsidP="0032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2803 Vođenje sudskih postupaka</w:t>
            </w:r>
          </w:p>
        </w:tc>
      </w:tr>
    </w:tbl>
    <w:p w:rsidR="00B149C3" w:rsidRPr="00322C61" w:rsidRDefault="00B93E7A">
      <w:pPr>
        <w:rPr>
          <w:rFonts w:ascii="Times New Roman" w:hAnsi="Times New Roman" w:cs="Times New Roman"/>
          <w:sz w:val="24"/>
          <w:szCs w:val="24"/>
        </w:rPr>
      </w:pPr>
    </w:p>
    <w:p w:rsidR="00322C61" w:rsidRDefault="00322C61"/>
    <w:p w:rsidR="00322C61" w:rsidRDefault="00322C61" w:rsidP="00993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61">
        <w:rPr>
          <w:rFonts w:ascii="Times New Roman" w:hAnsi="Times New Roman" w:cs="Times New Roman"/>
          <w:b/>
          <w:sz w:val="24"/>
          <w:szCs w:val="24"/>
        </w:rPr>
        <w:t xml:space="preserve">OBRAZLOŽENJE POLUGODIŠNJEG IZVJEŠTAJA O IZVRŠENJU FINANCIJSKOG PLANA </w:t>
      </w:r>
      <w:r w:rsidR="004907BA">
        <w:rPr>
          <w:rFonts w:ascii="Times New Roman" w:hAnsi="Times New Roman" w:cs="Times New Roman"/>
          <w:b/>
          <w:sz w:val="24"/>
          <w:szCs w:val="24"/>
        </w:rPr>
        <w:t xml:space="preserve">ŽUPANIJSKOG </w:t>
      </w:r>
      <w:r w:rsidRPr="00322C61">
        <w:rPr>
          <w:rFonts w:ascii="Times New Roman" w:hAnsi="Times New Roman" w:cs="Times New Roman"/>
          <w:b/>
          <w:sz w:val="24"/>
          <w:szCs w:val="24"/>
        </w:rPr>
        <w:t>SUDA U DUBROVNIKU</w:t>
      </w:r>
    </w:p>
    <w:p w:rsidR="00993A41" w:rsidRPr="00322C61" w:rsidRDefault="007D19DB" w:rsidP="00993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2025</w:t>
      </w:r>
      <w:r w:rsidR="00993A41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322C61" w:rsidRDefault="00322C61" w:rsidP="00322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C61" w:rsidRDefault="00322C61" w:rsidP="00322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C61" w:rsidRPr="00471FDA" w:rsidRDefault="00322C61" w:rsidP="00471F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FDA">
        <w:rPr>
          <w:rFonts w:ascii="Times New Roman" w:hAnsi="Times New Roman" w:cs="Times New Roman"/>
          <w:b/>
          <w:i/>
          <w:sz w:val="24"/>
          <w:szCs w:val="24"/>
        </w:rPr>
        <w:t>OBRAZLOŽENJE OPĆEG DIJELA IZVRŠENJA FINANCIJSKOG PLANA</w:t>
      </w:r>
    </w:p>
    <w:p w:rsidR="00A83B7C" w:rsidRDefault="00A83B7C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 i rashoda daje nam uvid u kretanja prihoda , odnosno rashoda uspoređujući prethodno i tekuće izvještajno razdoblje kao i odnos ostvarenog i planiranog na razini tekuće godine.</w:t>
      </w:r>
    </w:p>
    <w:p w:rsidR="00A83B7C" w:rsidRDefault="00A83B7C" w:rsidP="00322C61">
      <w:pPr>
        <w:rPr>
          <w:rFonts w:ascii="Times New Roman" w:hAnsi="Times New Roman" w:cs="Times New Roman"/>
          <w:sz w:val="24"/>
          <w:szCs w:val="24"/>
        </w:rPr>
      </w:pPr>
    </w:p>
    <w:p w:rsidR="00A83B7C" w:rsidRDefault="00A83B7C" w:rsidP="00A83B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000625" cy="311467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2C61" w:rsidRDefault="007A3B5E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ostvareni za šestomjesečno razdoblje 202</w:t>
      </w:r>
      <w:r w:rsidR="00412F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412F8F">
        <w:rPr>
          <w:rFonts w:ascii="Times New Roman" w:hAnsi="Times New Roman" w:cs="Times New Roman"/>
          <w:sz w:val="24"/>
          <w:szCs w:val="24"/>
        </w:rPr>
        <w:t xml:space="preserve">697.731,61 </w:t>
      </w:r>
      <w:r>
        <w:rPr>
          <w:rFonts w:ascii="Times New Roman" w:hAnsi="Times New Roman" w:cs="Times New Roman"/>
          <w:sz w:val="24"/>
          <w:szCs w:val="24"/>
        </w:rPr>
        <w:t>€, dok za isti period 202</w:t>
      </w:r>
      <w:r w:rsidR="00412F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412F8F">
        <w:rPr>
          <w:rFonts w:ascii="Times New Roman" w:hAnsi="Times New Roman" w:cs="Times New Roman"/>
          <w:sz w:val="24"/>
          <w:szCs w:val="24"/>
        </w:rPr>
        <w:t>857.951,13</w:t>
      </w:r>
      <w:r>
        <w:rPr>
          <w:rFonts w:ascii="Times New Roman" w:hAnsi="Times New Roman" w:cs="Times New Roman"/>
          <w:sz w:val="24"/>
          <w:szCs w:val="24"/>
        </w:rPr>
        <w:t xml:space="preserve"> €. </w:t>
      </w:r>
    </w:p>
    <w:p w:rsidR="007A3B5E" w:rsidRPr="00322C61" w:rsidRDefault="007A3B5E" w:rsidP="007A3B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4610100" cy="2200275"/>
            <wp:effectExtent l="0" t="0" r="1905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2C61" w:rsidRDefault="00493D26" w:rsidP="0034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nam daju uvid u odnos planiranog i izvršenog prihoda za 202</w:t>
      </w:r>
      <w:r w:rsidR="00412F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godinu. U šestomjesečnom razdoblju je izvršeno </w:t>
      </w:r>
      <w:r w:rsidR="00412F8F">
        <w:rPr>
          <w:rFonts w:ascii="Times New Roman" w:hAnsi="Times New Roman" w:cs="Times New Roman"/>
          <w:sz w:val="24"/>
          <w:szCs w:val="24"/>
        </w:rPr>
        <w:t>49,40</w:t>
      </w:r>
      <w:r>
        <w:rPr>
          <w:rFonts w:ascii="Times New Roman" w:hAnsi="Times New Roman" w:cs="Times New Roman"/>
          <w:sz w:val="24"/>
          <w:szCs w:val="24"/>
        </w:rPr>
        <w:t xml:space="preserve">% financijskog plana. </w:t>
      </w:r>
    </w:p>
    <w:p w:rsidR="003443F1" w:rsidRDefault="003443F1" w:rsidP="00344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60" w:rsidRDefault="003443F1" w:rsidP="00793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4A4D71" wp14:editId="6789A903">
            <wp:extent cx="4747565" cy="2655417"/>
            <wp:effectExtent l="0" t="0" r="15240" b="1206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1727" w:rsidRDefault="000F1727" w:rsidP="000F1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Prateći ukupne rashode za prethodno i tekuće razdoblje dolazimo do odstupanja od </w:t>
      </w:r>
      <w:r w:rsidR="00997C0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20FD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997C08" w:rsidRDefault="000F1727" w:rsidP="000F1727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>Na kontima 311-</w:t>
      </w:r>
      <w:r w:rsidR="00997C08">
        <w:t xml:space="preserve"> plaće za zaposlene bilježe povećanje od 31,18 %. O</w:t>
      </w:r>
      <w:r w:rsidR="00997C08">
        <w:t>snovica za izračun plaća uvećana je 3% te su uvećane plaće pravosudnih dužnosnika sukladno Zakonu o plaći i drugim materijalnim p</w:t>
      </w:r>
      <w:r w:rsidR="00997C08">
        <w:t>ravima pravosudnih dužnosnika. U</w:t>
      </w:r>
      <w:r w:rsidR="00997C08">
        <w:t xml:space="preserve"> odnosu na prethodno razdoblje povećan je </w:t>
      </w:r>
      <w:r w:rsidR="00997C08">
        <w:t xml:space="preserve">i </w:t>
      </w:r>
      <w:r w:rsidR="00997C08">
        <w:t>broj zaposlenih, imenovan je novi sudac Županijskog suda u Dubrovniku i zaposlen je jedan službenik na radnom mjestu zapisničara te se sudska savjetnica se vratila s porodiljinog dopusta.</w:t>
      </w:r>
    </w:p>
    <w:p w:rsidR="00997C08" w:rsidRDefault="00997C08" w:rsidP="000F1727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</w:p>
    <w:p w:rsidR="00997C08" w:rsidRPr="00997C08" w:rsidRDefault="000F1727" w:rsidP="00997C08">
      <w:pPr>
        <w:spacing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997C08">
        <w:rPr>
          <w:rFonts w:ascii="Times New Roman" w:eastAsiaTheme="minorEastAsia" w:hAnsi="Times New Roman"/>
          <w:sz w:val="24"/>
          <w:lang w:eastAsia="hr-HR"/>
        </w:rPr>
        <w:t>Na kontu 312-</w:t>
      </w:r>
      <w:r w:rsidR="00997C08" w:rsidRPr="00997C08">
        <w:rPr>
          <w:rFonts w:ascii="Times New Roman" w:eastAsiaTheme="minorEastAsia" w:hAnsi="Times New Roman"/>
          <w:sz w:val="24"/>
          <w:lang w:eastAsia="hr-HR"/>
        </w:rPr>
        <w:t xml:space="preserve"> </w:t>
      </w:r>
      <w:r w:rsidRPr="00997C08">
        <w:rPr>
          <w:rFonts w:ascii="Times New Roman" w:eastAsiaTheme="minorEastAsia" w:hAnsi="Times New Roman"/>
          <w:sz w:val="24"/>
          <w:lang w:eastAsia="hr-HR"/>
        </w:rPr>
        <w:t xml:space="preserve">ostali rashodi za zaposlene </w:t>
      </w:r>
      <w:r w:rsidR="00997C08">
        <w:rPr>
          <w:rFonts w:ascii="Times New Roman" w:eastAsiaTheme="minorEastAsia" w:hAnsi="Times New Roman"/>
          <w:sz w:val="24"/>
          <w:lang w:eastAsia="hr-HR"/>
        </w:rPr>
        <w:t xml:space="preserve">bilježimo </w:t>
      </w:r>
      <w:r w:rsidRPr="00997C08">
        <w:rPr>
          <w:rFonts w:ascii="Times New Roman" w:eastAsiaTheme="minorEastAsia" w:hAnsi="Times New Roman"/>
          <w:sz w:val="24"/>
          <w:lang w:eastAsia="hr-HR"/>
        </w:rPr>
        <w:t xml:space="preserve">povećanje od </w:t>
      </w:r>
      <w:r w:rsidR="00997C08" w:rsidRPr="00997C08">
        <w:rPr>
          <w:rFonts w:ascii="Times New Roman" w:eastAsiaTheme="minorEastAsia" w:hAnsi="Times New Roman"/>
          <w:sz w:val="24"/>
          <w:lang w:eastAsia="hr-HR"/>
        </w:rPr>
        <w:t>61,08</w:t>
      </w:r>
      <w:r w:rsidRPr="00997C08">
        <w:rPr>
          <w:rFonts w:ascii="Times New Roman" w:eastAsiaTheme="minorEastAsia" w:hAnsi="Times New Roman"/>
          <w:sz w:val="24"/>
          <w:lang w:eastAsia="hr-HR"/>
        </w:rPr>
        <w:t xml:space="preserve"> %</w:t>
      </w:r>
      <w:r w:rsidR="00997C08" w:rsidRPr="00997C08">
        <w:rPr>
          <w:rFonts w:ascii="Times New Roman" w:eastAsiaTheme="minorEastAsia" w:hAnsi="Times New Roman"/>
          <w:sz w:val="24"/>
          <w:lang w:eastAsia="hr-HR"/>
        </w:rPr>
        <w:t xml:space="preserve">. </w:t>
      </w:r>
      <w:r w:rsidR="00997C08" w:rsidRPr="00997C08">
        <w:rPr>
          <w:rFonts w:ascii="Times New Roman" w:eastAsiaTheme="minorEastAsia" w:hAnsi="Times New Roman"/>
          <w:sz w:val="24"/>
          <w:lang w:eastAsia="hr-HR"/>
        </w:rPr>
        <w:t>Uvećanje je nastupilo kao rezultat izmjene materijalnih prava dužnosnika temeljem Zakonu o plaći i drugim materijalnim pravima pravosudnih dužnosnika čime su stekli pravo na nagradu za uskršnje blagdane. U odnosu na referentno razdoblje povećan je i</w:t>
      </w:r>
      <w:r w:rsidR="00997C08">
        <w:rPr>
          <w:rFonts w:ascii="Times New Roman" w:eastAsiaTheme="minorEastAsia" w:hAnsi="Times New Roman"/>
          <w:sz w:val="24"/>
          <w:lang w:eastAsia="hr-HR"/>
        </w:rPr>
        <w:t xml:space="preserve"> broj zaposlenih čime je uvećan</w:t>
      </w:r>
      <w:r w:rsidR="00997C08" w:rsidRPr="00997C08">
        <w:rPr>
          <w:rFonts w:ascii="Times New Roman" w:eastAsiaTheme="minorEastAsia" w:hAnsi="Times New Roman"/>
          <w:sz w:val="24"/>
          <w:lang w:eastAsia="hr-HR"/>
        </w:rPr>
        <w:t xml:space="preserve"> i iznos regresa.</w:t>
      </w:r>
    </w:p>
    <w:p w:rsidR="00997C08" w:rsidRDefault="00997C08" w:rsidP="000F1727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</w:p>
    <w:p w:rsidR="008D457A" w:rsidRDefault="00997C08" w:rsidP="000F1727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lastRenderedPageBreak/>
        <w:t>Na kontima 321</w:t>
      </w:r>
      <w:r w:rsidR="008D457A">
        <w:t xml:space="preserve">- naknade troškova zaposlenima bilježimo povećanje od 23,50 % što se najvećim dijelom odnosi na naknade za prijevoz koje su uvećane uslijed novih zapošljavanja i povrata službenice s rodiljinog dopusta. </w:t>
      </w:r>
    </w:p>
    <w:p w:rsidR="00997C08" w:rsidRDefault="008D457A" w:rsidP="000F1727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 xml:space="preserve"> </w:t>
      </w:r>
    </w:p>
    <w:p w:rsidR="008D457A" w:rsidRPr="008D457A" w:rsidRDefault="000F1727" w:rsidP="008D457A">
      <w:pPr>
        <w:spacing w:line="24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8D457A">
        <w:rPr>
          <w:rFonts w:ascii="Times New Roman" w:eastAsia="Times New Roman" w:hAnsi="Times New Roman" w:cs="Times New Roman"/>
          <w:sz w:val="24"/>
          <w:szCs w:val="24"/>
          <w:lang w:eastAsia="hr-HR"/>
        </w:rPr>
        <w:t>Na kontima 322-</w:t>
      </w:r>
      <w:r w:rsidR="008D457A" w:rsidRPr="008D4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D457A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 za materijal i energiju</w:t>
      </w:r>
      <w:r w:rsidR="008D457A" w:rsidRPr="008D457A">
        <w:rPr>
          <w:rFonts w:ascii="Times New Roman" w:eastAsia="Times New Roman" w:hAnsi="Times New Roman" w:cs="Times New Roman"/>
          <w:sz w:val="24"/>
          <w:szCs w:val="24"/>
          <w:lang w:eastAsia="hr-HR"/>
        </w:rPr>
        <w:t>, povećanje od 10,60%.  N</w:t>
      </w:r>
      <w:r w:rsidRPr="008D457A">
        <w:rPr>
          <w:rFonts w:ascii="Times New Roman" w:eastAsia="Times New Roman" w:hAnsi="Times New Roman" w:cs="Times New Roman"/>
          <w:sz w:val="24"/>
          <w:szCs w:val="24"/>
          <w:lang w:eastAsia="hr-HR"/>
        </w:rPr>
        <w:t>ajveća odstupanja bilježimo na kontima</w:t>
      </w:r>
      <w:r w:rsidR="008D457A" w:rsidRPr="008D4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3221</w:t>
      </w:r>
      <w:r w:rsidRPr="008D4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457A">
        <w:rPr>
          <w:rFonts w:ascii="Times New Roman" w:eastAsia="Times New Roman" w:hAnsi="Times New Roman" w:cs="Times New Roman"/>
          <w:sz w:val="24"/>
          <w:szCs w:val="24"/>
          <w:lang w:eastAsia="hr-HR"/>
        </w:rPr>
        <w:t>uredski materijal gdje se</w:t>
      </w:r>
      <w:r w:rsidR="008D457A" w:rsidRPr="008D4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povećanje </w:t>
      </w:r>
      <w:r w:rsidR="008D457A" w:rsidRPr="008D457A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na potpisivanje novog ugovora za stručnu literaturu</w:t>
      </w:r>
      <w:r w:rsidR="008D457A" w:rsidRPr="008D457A">
        <w:rPr>
          <w:rFonts w:ascii="Times New Roman" w:eastAsiaTheme="minorEastAsia" w:hAnsi="Times New Roman"/>
          <w:sz w:val="24"/>
          <w:lang w:eastAsia="hr-HR"/>
        </w:rPr>
        <w:t>.</w:t>
      </w:r>
    </w:p>
    <w:p w:rsidR="000F1727" w:rsidRDefault="000F1727" w:rsidP="000F1727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  <w:r>
        <w:t xml:space="preserve">Na kontima 323- rashodi za usluge bilježimo </w:t>
      </w:r>
      <w:r w:rsidR="008D457A">
        <w:t>smanjenje</w:t>
      </w:r>
      <w:r>
        <w:t xml:space="preserve"> u odnosu na prethodno razdoblje</w:t>
      </w:r>
      <w:r w:rsidR="008D457A">
        <w:t xml:space="preserve">. Razlike su na kontima 3236 Zdravstvene usluge gdje su prethodnom razdoblju sistematski pregledi odrađeni početkom godine, dok je u tekućoj godini planiran u rujnu. </w:t>
      </w:r>
      <w:r w:rsidR="008D457A">
        <w:t>Smanjenje</w:t>
      </w:r>
      <w:r w:rsidR="008D457A">
        <w:t xml:space="preserve"> na kontu 3232 </w:t>
      </w:r>
      <w:r w:rsidR="008D457A">
        <w:t xml:space="preserve">odnosi </w:t>
      </w:r>
      <w:r w:rsidR="008D457A">
        <w:t xml:space="preserve">se </w:t>
      </w:r>
      <w:r w:rsidR="008D457A">
        <w:t>na obveze po ugovoru za servis klima uređaja koji je prošle godine odrađen u ožujku dok je servis ove godine odrađen u srpnju.</w:t>
      </w:r>
    </w:p>
    <w:p w:rsidR="00F42C0A" w:rsidRDefault="00F42C0A" w:rsidP="000F1727">
      <w:pPr>
        <w:pStyle w:val="box473826"/>
        <w:shd w:val="clear" w:color="auto" w:fill="FFFFFF"/>
        <w:spacing w:before="153" w:beforeAutospacing="0" w:after="0" w:afterAutospacing="0"/>
        <w:jc w:val="both"/>
        <w:textAlignment w:val="baseline"/>
      </w:pPr>
    </w:p>
    <w:p w:rsidR="00F42C0A" w:rsidRPr="00F42C0A" w:rsidRDefault="008D457A" w:rsidP="00F42C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2C0A">
        <w:rPr>
          <w:rFonts w:ascii="Times New Roman" w:eastAsia="Times New Roman" w:hAnsi="Times New Roman" w:cs="Times New Roman"/>
          <w:sz w:val="24"/>
          <w:szCs w:val="24"/>
          <w:lang w:eastAsia="hr-HR"/>
        </w:rPr>
        <w:t>Na kontima 329- ostali nespomenuti rashod</w:t>
      </w:r>
      <w:r w:rsidR="00F42C0A" w:rsidRPr="00F42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poslovanja bilježimo povećanje koje se odnosi na ostale nespomenute rashode, odnosno </w:t>
      </w:r>
      <w:r w:rsidR="00F42C0A" w:rsidRPr="00F42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tehnički pregled automobila koji je u prethodnom razdoblju plaćen početkom srpnja u ovoj godini </w:t>
      </w:r>
      <w:r w:rsidR="00F42C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F42C0A" w:rsidRPr="00F42C0A">
        <w:rPr>
          <w:rFonts w:ascii="Times New Roman" w:eastAsia="Times New Roman" w:hAnsi="Times New Roman" w:cs="Times New Roman"/>
          <w:sz w:val="24"/>
          <w:szCs w:val="24"/>
          <w:lang w:eastAsia="hr-HR"/>
        </w:rPr>
        <w:t>podmiren s 30.06.2025.</w:t>
      </w:r>
    </w:p>
    <w:p w:rsidR="00E21540" w:rsidRDefault="00E21540" w:rsidP="00056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540" w:rsidRDefault="00E21540" w:rsidP="00E21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74413" cy="2055571"/>
            <wp:effectExtent l="0" t="0" r="12065" b="2095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1540" w:rsidRDefault="00E21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izvršenih rashoda u odnosu na tekući plan iznosi </w:t>
      </w:r>
      <w:r w:rsidR="00F42C0A">
        <w:rPr>
          <w:rFonts w:ascii="Times New Roman" w:hAnsi="Times New Roman" w:cs="Times New Roman"/>
          <w:sz w:val="24"/>
          <w:szCs w:val="24"/>
        </w:rPr>
        <w:t>49,40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93E7A" w:rsidRDefault="00B93E7A">
      <w:pPr>
        <w:rPr>
          <w:rFonts w:ascii="Times New Roman" w:hAnsi="Times New Roman" w:cs="Times New Roman"/>
          <w:sz w:val="24"/>
          <w:szCs w:val="24"/>
        </w:rPr>
      </w:pPr>
    </w:p>
    <w:p w:rsidR="00471FDA" w:rsidRDefault="00471FDA">
      <w:pPr>
        <w:rPr>
          <w:rFonts w:ascii="Times New Roman" w:hAnsi="Times New Roman" w:cs="Times New Roman"/>
          <w:sz w:val="24"/>
          <w:szCs w:val="24"/>
        </w:rPr>
      </w:pPr>
      <w:r w:rsidRPr="00471FDA">
        <w:rPr>
          <w:rFonts w:ascii="Times New Roman" w:hAnsi="Times New Roman" w:cs="Times New Roman"/>
          <w:b/>
          <w:i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b/>
          <w:i/>
          <w:sz w:val="24"/>
          <w:szCs w:val="24"/>
        </w:rPr>
        <w:t>POSEBNOG</w:t>
      </w:r>
      <w:r w:rsidRPr="00471FDA">
        <w:rPr>
          <w:rFonts w:ascii="Times New Roman" w:hAnsi="Times New Roman" w:cs="Times New Roman"/>
          <w:b/>
          <w:i/>
          <w:sz w:val="24"/>
          <w:szCs w:val="24"/>
        </w:rPr>
        <w:t xml:space="preserve"> DIJELA IZVRŠENJA FINANCIJSKOG PLANA</w:t>
      </w:r>
    </w:p>
    <w:p w:rsidR="00471FDA" w:rsidRDefault="00471FDA" w:rsidP="0070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posebnom dijelu dan je detaljan uvid u šestomjesečno izvršenje u odnosu na teku</w:t>
      </w:r>
      <w:r w:rsidR="00BA7227">
        <w:rPr>
          <w:rFonts w:ascii="Times New Roman" w:hAnsi="Times New Roman" w:cs="Times New Roman"/>
          <w:sz w:val="24"/>
          <w:szCs w:val="24"/>
        </w:rPr>
        <w:t>ći plan iz čega je vidljivo kretanje rashoda unutar okvira plana.</w:t>
      </w:r>
      <w:r w:rsidR="00702E02">
        <w:rPr>
          <w:rFonts w:ascii="Times New Roman" w:hAnsi="Times New Roman" w:cs="Times New Roman"/>
          <w:sz w:val="24"/>
          <w:szCs w:val="24"/>
        </w:rPr>
        <w:t xml:space="preserve"> Rashodi poslovanja, odnosno izvršenje u šestomjesečnom period</w:t>
      </w:r>
      <w:r w:rsidR="00BC027B">
        <w:rPr>
          <w:rFonts w:ascii="Times New Roman" w:hAnsi="Times New Roman" w:cs="Times New Roman"/>
          <w:sz w:val="24"/>
          <w:szCs w:val="24"/>
        </w:rPr>
        <w:t>u u odnosu na tekući plan iznose</w:t>
      </w:r>
      <w:r w:rsidR="00702E02">
        <w:rPr>
          <w:rFonts w:ascii="Times New Roman" w:hAnsi="Times New Roman" w:cs="Times New Roman"/>
          <w:sz w:val="24"/>
          <w:szCs w:val="24"/>
        </w:rPr>
        <w:t xml:space="preserve"> </w:t>
      </w:r>
      <w:r w:rsidR="00B93E7A">
        <w:rPr>
          <w:rFonts w:ascii="Times New Roman" w:hAnsi="Times New Roman" w:cs="Times New Roman"/>
          <w:sz w:val="24"/>
          <w:szCs w:val="24"/>
        </w:rPr>
        <w:t>49,42 % s izvora 11. Izvor 31 vlastiti prihodi, udio izvršenja</w:t>
      </w:r>
      <w:bookmarkStart w:id="0" w:name="_GoBack"/>
      <w:bookmarkEnd w:id="0"/>
      <w:r w:rsidR="00B93E7A">
        <w:rPr>
          <w:rFonts w:ascii="Times New Roman" w:hAnsi="Times New Roman" w:cs="Times New Roman"/>
          <w:sz w:val="24"/>
          <w:szCs w:val="24"/>
        </w:rPr>
        <w:t xml:space="preserve"> u odnosu na tekući plan iznosi 35,67 %.</w:t>
      </w:r>
    </w:p>
    <w:p w:rsidR="00471FDA" w:rsidRDefault="00471FDA">
      <w:pPr>
        <w:rPr>
          <w:rFonts w:ascii="Times New Roman" w:hAnsi="Times New Roman" w:cs="Times New Roman"/>
          <w:sz w:val="24"/>
          <w:szCs w:val="24"/>
        </w:rPr>
      </w:pPr>
    </w:p>
    <w:sectPr w:rsidR="0047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1"/>
    <w:rsid w:val="000076F5"/>
    <w:rsid w:val="00015588"/>
    <w:rsid w:val="00056B76"/>
    <w:rsid w:val="000F0A40"/>
    <w:rsid w:val="000F1727"/>
    <w:rsid w:val="00136ECB"/>
    <w:rsid w:val="00176B60"/>
    <w:rsid w:val="00193DC5"/>
    <w:rsid w:val="001D4508"/>
    <w:rsid w:val="00246542"/>
    <w:rsid w:val="00322C61"/>
    <w:rsid w:val="003443F1"/>
    <w:rsid w:val="003C1E1F"/>
    <w:rsid w:val="003D04D1"/>
    <w:rsid w:val="003D4598"/>
    <w:rsid w:val="00412F8F"/>
    <w:rsid w:val="00471FDA"/>
    <w:rsid w:val="004907BA"/>
    <w:rsid w:val="00493D26"/>
    <w:rsid w:val="00546839"/>
    <w:rsid w:val="0059413B"/>
    <w:rsid w:val="005E1AC9"/>
    <w:rsid w:val="005E1DA3"/>
    <w:rsid w:val="00672B89"/>
    <w:rsid w:val="0068173E"/>
    <w:rsid w:val="00685661"/>
    <w:rsid w:val="00702E02"/>
    <w:rsid w:val="00720566"/>
    <w:rsid w:val="0079321F"/>
    <w:rsid w:val="007A3B5E"/>
    <w:rsid w:val="007B03F4"/>
    <w:rsid w:val="007D19DB"/>
    <w:rsid w:val="008166C5"/>
    <w:rsid w:val="008D457A"/>
    <w:rsid w:val="008E781D"/>
    <w:rsid w:val="009530CD"/>
    <w:rsid w:val="00967AB9"/>
    <w:rsid w:val="00971422"/>
    <w:rsid w:val="009750EB"/>
    <w:rsid w:val="00993A41"/>
    <w:rsid w:val="00997C08"/>
    <w:rsid w:val="00A00780"/>
    <w:rsid w:val="00A83B7C"/>
    <w:rsid w:val="00AA622E"/>
    <w:rsid w:val="00B031A8"/>
    <w:rsid w:val="00B220FD"/>
    <w:rsid w:val="00B328FB"/>
    <w:rsid w:val="00B533AB"/>
    <w:rsid w:val="00B86B3C"/>
    <w:rsid w:val="00B93E7A"/>
    <w:rsid w:val="00BA7227"/>
    <w:rsid w:val="00BC027B"/>
    <w:rsid w:val="00CC7B44"/>
    <w:rsid w:val="00D123A7"/>
    <w:rsid w:val="00D20688"/>
    <w:rsid w:val="00D234BF"/>
    <w:rsid w:val="00D77F7C"/>
    <w:rsid w:val="00E21540"/>
    <w:rsid w:val="00EC0744"/>
    <w:rsid w:val="00ED3249"/>
    <w:rsid w:val="00EE4D6A"/>
    <w:rsid w:val="00F0703E"/>
    <w:rsid w:val="00F42C0A"/>
    <w:rsid w:val="00F74F93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B7C"/>
    <w:rPr>
      <w:rFonts w:ascii="Tahoma" w:hAnsi="Tahoma" w:cs="Tahoma"/>
      <w:sz w:val="16"/>
      <w:szCs w:val="16"/>
    </w:rPr>
  </w:style>
  <w:style w:type="paragraph" w:customStyle="1" w:styleId="box473826">
    <w:name w:val="box_473826"/>
    <w:basedOn w:val="Normal"/>
    <w:rsid w:val="003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B7C"/>
    <w:rPr>
      <w:rFonts w:ascii="Tahoma" w:hAnsi="Tahoma" w:cs="Tahoma"/>
      <w:sz w:val="16"/>
      <w:szCs w:val="16"/>
    </w:rPr>
  </w:style>
  <w:style w:type="paragraph" w:customStyle="1" w:styleId="box473826">
    <w:name w:val="box_473826"/>
    <w:basedOn w:val="Normal"/>
    <w:rsid w:val="003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566579177602801"/>
          <c:y val="0.18380248340517069"/>
          <c:w val="0.54823887014123229"/>
          <c:h val="0.7262825174376138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ostvarenje/izvršenje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List1!$A$2:$A$3</c:f>
              <c:strCache>
                <c:ptCount val="2"/>
                <c:pt idx="0">
                  <c:v>2024.</c:v>
                </c:pt>
                <c:pt idx="1">
                  <c:v>2025.</c:v>
                </c:pt>
              </c:strCache>
            </c:strRef>
          </c:cat>
          <c:val>
            <c:numRef>
              <c:f>List1!$B$2:$B$3</c:f>
              <c:numCache>
                <c:formatCode>#,##0.00</c:formatCode>
                <c:ptCount val="2"/>
                <c:pt idx="0">
                  <c:v>697731.61</c:v>
                </c:pt>
                <c:pt idx="1">
                  <c:v>857951.13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81-4FA4-B714-0342CD73573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3467392"/>
        <c:axId val="191793408"/>
      </c:barChart>
      <c:catAx>
        <c:axId val="18346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1793408"/>
        <c:crosses val="autoZero"/>
        <c:auto val="1"/>
        <c:lblAlgn val="ctr"/>
        <c:lblOffset val="100"/>
        <c:noMultiLvlLbl val="0"/>
      </c:catAx>
      <c:valAx>
        <c:axId val="191793408"/>
        <c:scaling>
          <c:orientation val="minMax"/>
          <c:min val="0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834673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2036056256856782"/>
          <c:y val="4.040404040404040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tekući plan 2025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List1!$A$2:$A$3</c:f>
              <c:strCache>
                <c:ptCount val="2"/>
                <c:pt idx="0">
                  <c:v>01-06/2024</c:v>
                </c:pt>
                <c:pt idx="1">
                  <c:v>2024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49.4</c:v>
                </c:pt>
                <c:pt idx="1">
                  <c:v>50.6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17-46CA-942C-6EEFCD66AF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626370233132623"/>
          <c:y val="0.18494004507347975"/>
          <c:w val="0.71551401558784988"/>
          <c:h val="0.655408205553253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List1!$A$2:$A$3</c:f>
              <c:strCache>
                <c:ptCount val="2"/>
                <c:pt idx="0">
                  <c:v>1-6/2024</c:v>
                </c:pt>
                <c:pt idx="1">
                  <c:v>1-6/2025</c:v>
                </c:pt>
              </c:strCache>
            </c:strRef>
          </c:cat>
          <c:val>
            <c:numRef>
              <c:f>List1!$B$2:$B$3</c:f>
              <c:numCache>
                <c:formatCode>#,##0.00</c:formatCode>
                <c:ptCount val="2"/>
                <c:pt idx="0">
                  <c:v>697731.61</c:v>
                </c:pt>
                <c:pt idx="1">
                  <c:v>857951.13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34-4916-9C18-BD67E06478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678336"/>
        <c:axId val="193696512"/>
      </c:barChart>
      <c:catAx>
        <c:axId val="193678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696512"/>
        <c:crosses val="autoZero"/>
        <c:auto val="1"/>
        <c:lblAlgn val="ctr"/>
        <c:lblOffset val="100"/>
        <c:noMultiLvlLbl val="0"/>
      </c:catAx>
      <c:valAx>
        <c:axId val="193696512"/>
        <c:scaling>
          <c:orientation val="minMax"/>
          <c:min val="0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93678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Financijski plan 2025</c:v>
                </c:pt>
              </c:strCache>
            </c:strRef>
          </c:tx>
          <c:dPt>
            <c:idx val="0"/>
            <c:bubble3D val="0"/>
            <c:explosion val="1"/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List1!$A$2:$A$3</c:f>
              <c:strCache>
                <c:ptCount val="2"/>
                <c:pt idx="0">
                  <c:v>1-6/2025</c:v>
                </c:pt>
                <c:pt idx="1">
                  <c:v>2025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49.4</c:v>
                </c:pt>
                <c:pt idx="1">
                  <c:v>50.6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51-4747-BEF7-972CE5B70C1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Herceg</dc:creator>
  <cp:lastModifiedBy>Ana Herceg</cp:lastModifiedBy>
  <cp:revision>14</cp:revision>
  <cp:lastPrinted>2024-07-17T09:01:00Z</cp:lastPrinted>
  <dcterms:created xsi:type="dcterms:W3CDTF">2024-07-17T07:50:00Z</dcterms:created>
  <dcterms:modified xsi:type="dcterms:W3CDTF">2025-07-10T07:39:00Z</dcterms:modified>
</cp:coreProperties>
</file>