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322C61" w:rsidRPr="00322C61" w:rsidTr="00322C6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322C61" w:rsidRPr="00322C61" w:rsidTr="00322C6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CC7B44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1098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OPĆINSKI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SUDOVI</w:t>
            </w:r>
          </w:p>
        </w:tc>
      </w:tr>
      <w:tr w:rsidR="00322C61" w:rsidRPr="00322C61" w:rsidTr="00322C6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CC7B44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3847 OPĆINSKI SUD 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 DUBROVNIKU</w:t>
            </w:r>
          </w:p>
        </w:tc>
      </w:tr>
      <w:tr w:rsidR="00322C61" w:rsidRPr="00322C61" w:rsidTr="00322C6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B149C3" w:rsidRPr="00322C61" w:rsidRDefault="00D65323">
      <w:pPr>
        <w:rPr>
          <w:rFonts w:ascii="Times New Roman" w:hAnsi="Times New Roman" w:cs="Times New Roman"/>
          <w:sz w:val="24"/>
          <w:szCs w:val="24"/>
        </w:rPr>
      </w:pPr>
    </w:p>
    <w:p w:rsidR="00322C61" w:rsidRDefault="00322C61"/>
    <w:p w:rsidR="002546D0" w:rsidRDefault="00322C61" w:rsidP="0025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1">
        <w:rPr>
          <w:rFonts w:ascii="Times New Roman" w:hAnsi="Times New Roman" w:cs="Times New Roman"/>
          <w:b/>
          <w:sz w:val="24"/>
          <w:szCs w:val="24"/>
        </w:rPr>
        <w:t xml:space="preserve">OBRAZLOŽENJE POLUGODIŠNJEG IZVJEŠTAJA O IZVRŠENJU FINANCIJSKOG PLANA </w:t>
      </w:r>
      <w:r w:rsidR="00183D1A">
        <w:rPr>
          <w:rFonts w:ascii="Times New Roman" w:hAnsi="Times New Roman" w:cs="Times New Roman"/>
          <w:b/>
          <w:sz w:val="24"/>
          <w:szCs w:val="24"/>
        </w:rPr>
        <w:t>OPĆINS</w:t>
      </w:r>
      <w:r w:rsidRPr="00322C61">
        <w:rPr>
          <w:rFonts w:ascii="Times New Roman" w:hAnsi="Times New Roman" w:cs="Times New Roman"/>
          <w:b/>
          <w:sz w:val="24"/>
          <w:szCs w:val="24"/>
        </w:rPr>
        <w:t>KOG SUDA U DUBROVNIKU</w:t>
      </w:r>
    </w:p>
    <w:p w:rsidR="00322C61" w:rsidRPr="00322C61" w:rsidRDefault="002546D0" w:rsidP="00254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Pr="00471FDA" w:rsidRDefault="00322C61" w:rsidP="00471F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A83B7C" w:rsidRDefault="00A83B7C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 i rashoda daje nam uvid u kretanja prihoda, odnosno rashoda uspoređujući prethodno i tekuće izvještajno razdoblje kao i odnos ostvarenog i planiranog na razini tekuće godine.</w:t>
      </w:r>
    </w:p>
    <w:p w:rsidR="00A83B7C" w:rsidRDefault="00A83B7C" w:rsidP="00322C61">
      <w:pPr>
        <w:rPr>
          <w:rFonts w:ascii="Times New Roman" w:hAnsi="Times New Roman" w:cs="Times New Roman"/>
          <w:sz w:val="24"/>
          <w:szCs w:val="24"/>
        </w:rPr>
      </w:pPr>
    </w:p>
    <w:p w:rsidR="00A83B7C" w:rsidRDefault="00A83B7C" w:rsidP="00A83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000625" cy="31146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22C61" w:rsidRDefault="007A3B5E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ostvareni za šestomjesečno razdoblje 202</w:t>
      </w:r>
      <w:r w:rsidR="002546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iznose 1</w:t>
      </w:r>
      <w:r w:rsidR="00D234BF">
        <w:rPr>
          <w:rFonts w:ascii="Times New Roman" w:hAnsi="Times New Roman" w:cs="Times New Roman"/>
          <w:sz w:val="24"/>
          <w:szCs w:val="24"/>
        </w:rPr>
        <w:t>.</w:t>
      </w:r>
      <w:r w:rsidR="002546D0">
        <w:rPr>
          <w:rFonts w:ascii="Times New Roman" w:hAnsi="Times New Roman" w:cs="Times New Roman"/>
          <w:sz w:val="24"/>
          <w:szCs w:val="24"/>
        </w:rPr>
        <w:t>767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46D0">
        <w:rPr>
          <w:rFonts w:ascii="Times New Roman" w:hAnsi="Times New Roman" w:cs="Times New Roman"/>
          <w:sz w:val="24"/>
          <w:szCs w:val="24"/>
        </w:rPr>
        <w:t>552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46D0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€, dok za isti period 202</w:t>
      </w:r>
      <w:r w:rsidR="002546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2546D0">
        <w:rPr>
          <w:rFonts w:ascii="Times New Roman" w:hAnsi="Times New Roman" w:cs="Times New Roman"/>
          <w:sz w:val="24"/>
          <w:szCs w:val="24"/>
        </w:rPr>
        <w:t>2</w:t>
      </w:r>
      <w:r w:rsidR="008166C5">
        <w:rPr>
          <w:rFonts w:ascii="Times New Roman" w:hAnsi="Times New Roman" w:cs="Times New Roman"/>
          <w:sz w:val="24"/>
          <w:szCs w:val="24"/>
        </w:rPr>
        <w:t>.</w:t>
      </w:r>
      <w:r w:rsidR="002546D0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46D0">
        <w:rPr>
          <w:rFonts w:ascii="Times New Roman" w:hAnsi="Times New Roman" w:cs="Times New Roman"/>
          <w:sz w:val="24"/>
          <w:szCs w:val="24"/>
        </w:rPr>
        <w:t>043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46D0">
        <w:rPr>
          <w:rFonts w:ascii="Times New Roman" w:hAnsi="Times New Roman" w:cs="Times New Roman"/>
          <w:sz w:val="24"/>
          <w:szCs w:val="24"/>
        </w:rPr>
        <w:t>80</w:t>
      </w:r>
      <w:r w:rsidR="00D40B0B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7A3B5E" w:rsidRPr="00322C61" w:rsidRDefault="007A3B5E" w:rsidP="007A3B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610100" cy="2200275"/>
            <wp:effectExtent l="0" t="0" r="1905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2C61" w:rsidRDefault="00493D26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nam daj</w:t>
      </w:r>
      <w:r w:rsidR="004D6C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uvid u odnos planiranog i izvršenog prihoda za 202</w:t>
      </w:r>
      <w:r w:rsidR="006375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godinu. U šestomjesečnom razdoblju je izvršeno </w:t>
      </w:r>
      <w:r w:rsidR="009530CD">
        <w:rPr>
          <w:rFonts w:ascii="Times New Roman" w:hAnsi="Times New Roman" w:cs="Times New Roman"/>
          <w:sz w:val="24"/>
          <w:szCs w:val="24"/>
        </w:rPr>
        <w:t>5</w:t>
      </w:r>
      <w:r w:rsidR="006375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757E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% financijskog plana. </w:t>
      </w:r>
    </w:p>
    <w:p w:rsidR="003443F1" w:rsidRDefault="003443F1" w:rsidP="003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3F1" w:rsidRDefault="003443F1" w:rsidP="00344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47565" cy="2655417"/>
            <wp:effectExtent l="0" t="0" r="15240" b="1206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6B60" w:rsidRDefault="003443F1" w:rsidP="00056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Prateći ukupne rashode za prethodno i tekuće razdoblje dolazimo do odstupanja od </w:t>
      </w:r>
      <w:r w:rsidR="007F641A">
        <w:rPr>
          <w:rFonts w:ascii="Times New Roman" w:hAnsi="Times New Roman" w:cs="Times New Roman"/>
          <w:sz w:val="24"/>
          <w:szCs w:val="24"/>
        </w:rPr>
        <w:t>41,9</w:t>
      </w:r>
      <w:r w:rsidR="00724B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FA6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FFB" w:rsidRDefault="00056B76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 xml:space="preserve">Na kontima </w:t>
      </w:r>
      <w:r w:rsidR="007A7FFB">
        <w:t>311-plaće za zaposlene bilježimo povećanje od 40,98 % slijedom izmjene Zakona o državnim službenicima i stupanjem nove uredbe o nazivima radnih mjesta, uvjetima za raspored i koeficijentima za obračun plaće u državnoj službi čime su službenicima i namještenicima povećane plaće. Također izmjenom Zakona o plaći i drugim materijalnim pravima pravosudnih dužnosnika uvećane su i plaće pravosudnih dužnosnika</w:t>
      </w:r>
      <w:r w:rsidR="00884DCC">
        <w:t xml:space="preserve"> kao i povećanja vrijednosti sata prekovremenog rada</w:t>
      </w:r>
      <w:r w:rsidR="007A7FFB">
        <w:t>.</w:t>
      </w:r>
    </w:p>
    <w:p w:rsidR="003D3B62" w:rsidRDefault="003D3B62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 xml:space="preserve">Na kontu 312-ostali rashodi za zaposlene povećanje od 53,12 % najvećim dijelom se odnosi izmjene </w:t>
      </w:r>
      <w:r>
        <w:t>Zakona o plaći i drugim materijalnim pravima pravosudnih dužnosnika</w:t>
      </w:r>
      <w:r>
        <w:t xml:space="preserve"> čime su isti ostvarili sva materijalna prava jednaka </w:t>
      </w:r>
      <w:r w:rsidR="00F82571">
        <w:t>službenicima</w:t>
      </w:r>
      <w:r>
        <w:t>.</w:t>
      </w:r>
    </w:p>
    <w:p w:rsidR="007A7FFB" w:rsidRDefault="003F1E4D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kontima 322-rashod za materijal i energiju najveća odstupanja bilježimo na kontima 3223 energija gdje bilježimo pad u odnosu na prethodno razdoblje jer u cijelom šestomjesečnom razdoblju 2024. godine na snazi je bila Uredba o otklanjanju poremećaja na domaćem tržištu energije.</w:t>
      </w:r>
    </w:p>
    <w:p w:rsidR="003F1E4D" w:rsidRDefault="003F1E4D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kontima 3224-materijal i dijelovi za tekuće održavanje bilježimo porast od 115,78 % nastao zbog dotrajalosti zgrade i opreme, kao i povećanja cijena proizvoda na tržištu (inflacije).</w:t>
      </w:r>
    </w:p>
    <w:p w:rsidR="003F1E4D" w:rsidRDefault="00FE6664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svim kontima 323- rashodi za usluge bilježimo povećanja u odnosu na prethodno razdoblje nastala kao rezultat inflacije.</w:t>
      </w:r>
    </w:p>
    <w:p w:rsidR="00BE4B50" w:rsidRDefault="00BE4B50" w:rsidP="003C1E1F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kontu bankarskih usluga 3431 bilježimo povećanje od 82% uslijed povećanja cijena naknade za platni prometa HPB d.d.</w:t>
      </w:r>
    </w:p>
    <w:p w:rsidR="00E21540" w:rsidRDefault="00E21540" w:rsidP="00056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40" w:rsidRDefault="00E21540" w:rsidP="00E2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4413" cy="2055571"/>
            <wp:effectExtent l="0" t="0" r="12065" b="2095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540" w:rsidRDefault="00E21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u odnosu na tekući plan iznosi </w:t>
      </w:r>
      <w:r w:rsidR="00A157F4">
        <w:rPr>
          <w:rFonts w:ascii="Times New Roman" w:hAnsi="Times New Roman" w:cs="Times New Roman"/>
          <w:sz w:val="24"/>
          <w:szCs w:val="24"/>
        </w:rPr>
        <w:t>5</w:t>
      </w:r>
      <w:r w:rsidR="001923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57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533AB" w:rsidRDefault="00B533AB">
      <w:pPr>
        <w:rPr>
          <w:rFonts w:ascii="Times New Roman" w:hAnsi="Times New Roman" w:cs="Times New Roman"/>
          <w:sz w:val="24"/>
          <w:szCs w:val="24"/>
        </w:rPr>
      </w:pPr>
    </w:p>
    <w:p w:rsidR="00B533AB" w:rsidRDefault="00B533AB">
      <w:pPr>
        <w:rPr>
          <w:rFonts w:ascii="Times New Roman" w:hAnsi="Times New Roman" w:cs="Times New Roman"/>
          <w:sz w:val="24"/>
          <w:szCs w:val="24"/>
        </w:rPr>
      </w:pPr>
    </w:p>
    <w:p w:rsidR="00702E02" w:rsidRDefault="00702E02">
      <w:pPr>
        <w:rPr>
          <w:rFonts w:ascii="Times New Roman" w:hAnsi="Times New Roman" w:cs="Times New Roman"/>
          <w:sz w:val="24"/>
          <w:szCs w:val="24"/>
        </w:rPr>
      </w:pP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i/>
          <w:sz w:val="24"/>
          <w:szCs w:val="24"/>
        </w:rPr>
        <w:t>POSEBNOG</w:t>
      </w: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 DIJELA IZVRŠENJA FINANCIJSKOG PLANA</w:t>
      </w:r>
    </w:p>
    <w:p w:rsidR="00D65323" w:rsidRDefault="00471FDA" w:rsidP="0070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dan je detaljan uvid u šestomjesečno izvršenje u odnosu na teku</w:t>
      </w:r>
      <w:r w:rsidR="00BA7227">
        <w:rPr>
          <w:rFonts w:ascii="Times New Roman" w:hAnsi="Times New Roman" w:cs="Times New Roman"/>
          <w:sz w:val="24"/>
          <w:szCs w:val="24"/>
        </w:rPr>
        <w:t>ći plan iz čega je vidljivo kretanje rashoda unutar okvira plana.</w:t>
      </w:r>
      <w:r w:rsidR="00702E02">
        <w:rPr>
          <w:rFonts w:ascii="Times New Roman" w:hAnsi="Times New Roman" w:cs="Times New Roman"/>
          <w:sz w:val="24"/>
          <w:szCs w:val="24"/>
        </w:rPr>
        <w:t xml:space="preserve"> Rashodi poslovanja, odnosno izvršenje u šestomjesečnom period</w:t>
      </w:r>
      <w:r w:rsidR="00BC027B">
        <w:rPr>
          <w:rFonts w:ascii="Times New Roman" w:hAnsi="Times New Roman" w:cs="Times New Roman"/>
          <w:sz w:val="24"/>
          <w:szCs w:val="24"/>
        </w:rPr>
        <w:t>u u odnosu na tekući plan iznose</w:t>
      </w:r>
      <w:r w:rsidR="00702E02">
        <w:rPr>
          <w:rFonts w:ascii="Times New Roman" w:hAnsi="Times New Roman" w:cs="Times New Roman"/>
          <w:sz w:val="24"/>
          <w:szCs w:val="24"/>
        </w:rPr>
        <w:t xml:space="preserve"> 5</w:t>
      </w:r>
      <w:r w:rsidR="00D65323">
        <w:rPr>
          <w:rFonts w:ascii="Times New Roman" w:hAnsi="Times New Roman" w:cs="Times New Roman"/>
          <w:sz w:val="24"/>
          <w:szCs w:val="24"/>
        </w:rPr>
        <w:t>5</w:t>
      </w:r>
      <w:r w:rsidR="00702E02">
        <w:rPr>
          <w:rFonts w:ascii="Times New Roman" w:hAnsi="Times New Roman" w:cs="Times New Roman"/>
          <w:sz w:val="24"/>
          <w:szCs w:val="24"/>
        </w:rPr>
        <w:t>,</w:t>
      </w:r>
      <w:r w:rsidR="00D65323">
        <w:rPr>
          <w:rFonts w:ascii="Times New Roman" w:hAnsi="Times New Roman" w:cs="Times New Roman"/>
          <w:sz w:val="24"/>
          <w:szCs w:val="24"/>
        </w:rPr>
        <w:t>8</w:t>
      </w:r>
      <w:r w:rsidR="00702E02">
        <w:rPr>
          <w:rFonts w:ascii="Times New Roman" w:hAnsi="Times New Roman" w:cs="Times New Roman"/>
          <w:sz w:val="24"/>
          <w:szCs w:val="24"/>
        </w:rPr>
        <w:t xml:space="preserve">%. </w:t>
      </w:r>
      <w:r w:rsidR="00D65323">
        <w:rPr>
          <w:rFonts w:ascii="Times New Roman" w:hAnsi="Times New Roman" w:cs="Times New Roman"/>
          <w:sz w:val="24"/>
          <w:szCs w:val="24"/>
        </w:rPr>
        <w:t>Uslijed inflatornog učinka, rashodi za usluge bilježe 80,12%.izvršenja izvornog plana koji je napravljen na bazi rashoda 2023. godine kada se nije moglo znati da će doći do ovolikog povećanja cijena na tržištu.</w:t>
      </w:r>
      <w:bookmarkStart w:id="0" w:name="_GoBack"/>
      <w:bookmarkEnd w:id="0"/>
    </w:p>
    <w:p w:rsidR="00D65323" w:rsidRDefault="00D65323" w:rsidP="00702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</w:p>
    <w:sectPr w:rsidR="004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61"/>
    <w:rsid w:val="000076F5"/>
    <w:rsid w:val="00015588"/>
    <w:rsid w:val="00056B76"/>
    <w:rsid w:val="00176B60"/>
    <w:rsid w:val="00183D1A"/>
    <w:rsid w:val="00192335"/>
    <w:rsid w:val="001D4508"/>
    <w:rsid w:val="002546D0"/>
    <w:rsid w:val="00322C61"/>
    <w:rsid w:val="003443F1"/>
    <w:rsid w:val="003C1E1F"/>
    <w:rsid w:val="003D04D1"/>
    <w:rsid w:val="003D3B62"/>
    <w:rsid w:val="003F1E4D"/>
    <w:rsid w:val="00471FDA"/>
    <w:rsid w:val="00493D26"/>
    <w:rsid w:val="004D6C08"/>
    <w:rsid w:val="00546839"/>
    <w:rsid w:val="0063757E"/>
    <w:rsid w:val="00672B89"/>
    <w:rsid w:val="00702E02"/>
    <w:rsid w:val="00724B5B"/>
    <w:rsid w:val="007A3B5E"/>
    <w:rsid w:val="007A7FFB"/>
    <w:rsid w:val="007F641A"/>
    <w:rsid w:val="008166C5"/>
    <w:rsid w:val="0083159A"/>
    <w:rsid w:val="00884DCC"/>
    <w:rsid w:val="008E781D"/>
    <w:rsid w:val="009530CD"/>
    <w:rsid w:val="00967AB9"/>
    <w:rsid w:val="00A157F4"/>
    <w:rsid w:val="00A83B7C"/>
    <w:rsid w:val="00AA622E"/>
    <w:rsid w:val="00B031A8"/>
    <w:rsid w:val="00B533AB"/>
    <w:rsid w:val="00BA7227"/>
    <w:rsid w:val="00BC027B"/>
    <w:rsid w:val="00BE4B50"/>
    <w:rsid w:val="00CC7B44"/>
    <w:rsid w:val="00D234BF"/>
    <w:rsid w:val="00D40B0B"/>
    <w:rsid w:val="00D65323"/>
    <w:rsid w:val="00E1385A"/>
    <w:rsid w:val="00E21540"/>
    <w:rsid w:val="00E611A2"/>
    <w:rsid w:val="00ED3249"/>
    <w:rsid w:val="00F82571"/>
    <w:rsid w:val="00FA6A0A"/>
    <w:rsid w:val="00FD40D0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1AD4"/>
  <w15:docId w15:val="{3F9D3777-D87A-43A0-BDB3-D2BA4A0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66579177602801"/>
          <c:y val="0.18380248340517069"/>
          <c:w val="0.54823887014123229"/>
          <c:h val="0.726282517437613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ostvarenje/izvršenje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2023.</c:v>
                </c:pt>
                <c:pt idx="1">
                  <c:v>2024.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1767552.95</c:v>
                </c:pt>
                <c:pt idx="1">
                  <c:v>2508043.7999999998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97-4502-96E4-D1230AD74F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5070464"/>
        <c:axId val="155072000"/>
      </c:barChart>
      <c:catAx>
        <c:axId val="15507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072000"/>
        <c:crosses val="autoZero"/>
        <c:auto val="1"/>
        <c:lblAlgn val="ctr"/>
        <c:lblOffset val="100"/>
        <c:noMultiLvlLbl val="0"/>
      </c:catAx>
      <c:valAx>
        <c:axId val="155072000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55070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tekući plan 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01-06/2024</c:v>
                </c:pt>
                <c:pt idx="1">
                  <c:v>2024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55.77</c:v>
                </c:pt>
                <c:pt idx="1">
                  <c:v>44.23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76-41BB-99B7-64874B2C4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26370233132623"/>
          <c:y val="0.18494004507347975"/>
          <c:w val="0.71551401558784988"/>
          <c:h val="0.65540820555325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1-6/2023</c:v>
                </c:pt>
                <c:pt idx="1">
                  <c:v>1-6/2024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1767685.67</c:v>
                </c:pt>
                <c:pt idx="1">
                  <c:v>2509663.64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8-4957-8035-A0BE02B77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55840"/>
        <c:axId val="155174016"/>
      </c:barChart>
      <c:catAx>
        <c:axId val="155155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174016"/>
        <c:crosses val="autoZero"/>
        <c:auto val="1"/>
        <c:lblAlgn val="ctr"/>
        <c:lblOffset val="100"/>
        <c:noMultiLvlLbl val="0"/>
      </c:catAx>
      <c:valAx>
        <c:axId val="155174016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55155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Financijski plan 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1-6/2024</c:v>
                </c:pt>
                <c:pt idx="1">
                  <c:v>2024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55.8</c:v>
                </c:pt>
                <c:pt idx="1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5-4C97-8443-B100AA655C8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Herceg</dc:creator>
  <cp:lastModifiedBy>Sanja Bošnjak</cp:lastModifiedBy>
  <cp:revision>18</cp:revision>
  <dcterms:created xsi:type="dcterms:W3CDTF">2024-07-17T06:13:00Z</dcterms:created>
  <dcterms:modified xsi:type="dcterms:W3CDTF">2024-07-17T07:06:00Z</dcterms:modified>
</cp:coreProperties>
</file>