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915889" w:rsidRPr="000E7DD5" w:rsidTr="008D5DB9">
        <w:trPr>
          <w:gridBefore w:val="1"/>
          <w:gridAfter w:val="1"/>
          <w:wBefore w:w="410" w:type="dxa"/>
          <w:wAfter w:w="608" w:type="dxa"/>
        </w:trPr>
        <w:tc>
          <w:tcPr>
            <w:tcW w:w="3302" w:type="dxa"/>
            <w:shd w:val="clear" w:color="auto" w:fill="auto"/>
          </w:tcPr>
          <w:p w:rsidR="00915889" w:rsidRPr="000E7DD5" w:rsidRDefault="00915889" w:rsidP="00177F65">
            <w:pPr>
              <w:jc w:val="center"/>
              <w:rPr>
                <w:rFonts w:ascii="Arial" w:hAnsi="Arial" w:cs="Arial"/>
                <w:lang w:val="hr-HR"/>
              </w:rPr>
            </w:pPr>
            <w:r w:rsidRPr="000E7DD5">
              <w:rPr>
                <w:rFonts w:ascii="Arial" w:hAnsi="Arial" w:cs="Arial"/>
                <w:noProof/>
                <w:lang w:val="hr-HR"/>
              </w:rPr>
              <w:drawing>
                <wp:inline distT="0" distB="0" distL="0" distR="0" wp14:anchorId="4781A681" wp14:editId="53DD7176">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15889" w:rsidRPr="000E7DD5" w:rsidRDefault="00915889" w:rsidP="00177F65">
            <w:pPr>
              <w:jc w:val="center"/>
              <w:rPr>
                <w:rFonts w:ascii="Arial" w:hAnsi="Arial" w:cs="Arial"/>
                <w:lang w:val="hr-HR"/>
              </w:rPr>
            </w:pPr>
            <w:r w:rsidRPr="000E7DD5">
              <w:rPr>
                <w:rFonts w:ascii="Arial" w:hAnsi="Arial" w:cs="Arial"/>
                <w:lang w:val="hr-HR"/>
              </w:rPr>
              <w:t>Republika Hrvatska</w:t>
            </w:r>
          </w:p>
          <w:p w:rsidR="00915889" w:rsidRPr="000E7DD5" w:rsidRDefault="00915889" w:rsidP="00177F65">
            <w:pPr>
              <w:jc w:val="center"/>
              <w:rPr>
                <w:rFonts w:ascii="Arial" w:hAnsi="Arial" w:cs="Arial"/>
                <w:lang w:val="hr-HR"/>
              </w:rPr>
            </w:pPr>
            <w:r w:rsidRPr="000E7DD5">
              <w:rPr>
                <w:rFonts w:ascii="Arial" w:hAnsi="Arial" w:cs="Arial"/>
                <w:lang w:val="hr-HR"/>
              </w:rPr>
              <w:t xml:space="preserve">Županijski sud u Osijeku </w:t>
            </w:r>
          </w:p>
          <w:p w:rsidR="00915889" w:rsidRPr="000E7DD5" w:rsidRDefault="00915889" w:rsidP="00177F65">
            <w:pPr>
              <w:jc w:val="center"/>
              <w:rPr>
                <w:rFonts w:ascii="Arial" w:hAnsi="Arial" w:cs="Arial"/>
                <w:lang w:val="hr-HR"/>
              </w:rPr>
            </w:pPr>
            <w:r w:rsidRPr="000E7DD5">
              <w:rPr>
                <w:rFonts w:ascii="Arial" w:hAnsi="Arial" w:cs="Arial"/>
                <w:lang w:val="hr-HR"/>
              </w:rPr>
              <w:t>Osijek, Europska avenija 7</w:t>
            </w:r>
          </w:p>
          <w:p w:rsidR="00915889" w:rsidRPr="000E7DD5" w:rsidRDefault="00915889" w:rsidP="00177F65">
            <w:pPr>
              <w:jc w:val="center"/>
              <w:rPr>
                <w:rFonts w:ascii="Arial" w:hAnsi="Arial" w:cs="Arial"/>
                <w:lang w:val="hr-HR"/>
              </w:rPr>
            </w:pPr>
          </w:p>
        </w:tc>
      </w:tr>
      <w:tr w:rsidR="00915889" w:rsidRPr="000E7DD5" w:rsidTr="008D5DB9">
        <w:tblPrEx>
          <w:tblCellMar>
            <w:left w:w="0" w:type="dxa"/>
            <w:right w:w="0" w:type="dxa"/>
          </w:tblCellMar>
          <w:tblLook w:val="01E0" w:firstRow="1" w:lastRow="1" w:firstColumn="1" w:lastColumn="1" w:noHBand="0" w:noVBand="0"/>
        </w:tblPrEx>
        <w:tc>
          <w:tcPr>
            <w:tcW w:w="4320" w:type="dxa"/>
            <w:gridSpan w:val="3"/>
          </w:tcPr>
          <w:p w:rsidR="00915889" w:rsidRPr="000E7DD5" w:rsidRDefault="00915889" w:rsidP="00177F65">
            <w:pPr>
              <w:pStyle w:val="VSVerzija"/>
              <w:jc w:val="right"/>
              <w:rPr>
                <w:rFonts w:ascii="Arial" w:hAnsi="Arial" w:cs="Arial"/>
              </w:rPr>
            </w:pPr>
          </w:p>
        </w:tc>
      </w:tr>
    </w:tbl>
    <w:p w:rsidR="00915889" w:rsidRPr="000E7DD5" w:rsidRDefault="00915889" w:rsidP="00177F65">
      <w:pPr>
        <w:jc w:val="both"/>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jc w:val="both"/>
        <w:rPr>
          <w:rFonts w:ascii="Arial" w:hAnsi="Arial" w:cs="Arial"/>
          <w:lang w:val="hr-HR"/>
        </w:rPr>
      </w:pPr>
    </w:p>
    <w:p w:rsidR="00023979" w:rsidRPr="000E7DD5" w:rsidRDefault="00023979" w:rsidP="00177F65">
      <w:pPr>
        <w:jc w:val="both"/>
        <w:rPr>
          <w:rFonts w:ascii="Arial" w:hAnsi="Arial" w:cs="Arial"/>
          <w:lang w:val="hr-HR"/>
        </w:rPr>
      </w:pPr>
    </w:p>
    <w:p w:rsidR="00915889" w:rsidRPr="000E7DD5" w:rsidRDefault="00915889" w:rsidP="00177F65">
      <w:pPr>
        <w:jc w:val="right"/>
        <w:rPr>
          <w:rFonts w:ascii="Arial" w:hAnsi="Arial" w:cs="Arial"/>
          <w:lang w:val="hr-HR"/>
        </w:rPr>
      </w:pPr>
      <w:r w:rsidRPr="000E7DD5">
        <w:rPr>
          <w:rFonts w:ascii="Arial" w:hAnsi="Arial" w:cs="Arial"/>
          <w:lang w:val="hr-HR"/>
        </w:rPr>
        <w:t xml:space="preserve">Poslovni broj  </w:t>
      </w:r>
      <w:proofErr w:type="spellStart"/>
      <w:r w:rsidR="00A15874" w:rsidRPr="000E7DD5">
        <w:rPr>
          <w:rFonts w:ascii="Arial" w:hAnsi="Arial" w:cs="Arial"/>
          <w:lang w:val="hr-HR"/>
        </w:rPr>
        <w:t>G</w:t>
      </w:r>
      <w:r w:rsidR="001C08DD" w:rsidRPr="000E7DD5">
        <w:rPr>
          <w:rFonts w:ascii="Arial" w:hAnsi="Arial" w:cs="Arial"/>
          <w:lang w:val="hr-HR"/>
        </w:rPr>
        <w:t>ž</w:t>
      </w:r>
      <w:proofErr w:type="spellEnd"/>
      <w:r w:rsidR="00E444A4" w:rsidRPr="000E7DD5">
        <w:rPr>
          <w:rFonts w:ascii="Arial" w:hAnsi="Arial" w:cs="Arial"/>
          <w:lang w:val="hr-HR"/>
        </w:rPr>
        <w:t>-</w:t>
      </w:r>
      <w:r w:rsidR="0063008D">
        <w:rPr>
          <w:rFonts w:ascii="Arial" w:hAnsi="Arial" w:cs="Arial"/>
          <w:lang w:val="hr-HR"/>
        </w:rPr>
        <w:t>101</w:t>
      </w:r>
      <w:r w:rsidR="00E444A4" w:rsidRPr="000E7DD5">
        <w:rPr>
          <w:rFonts w:ascii="Arial" w:hAnsi="Arial" w:cs="Arial"/>
          <w:lang w:val="hr-HR"/>
        </w:rPr>
        <w:t>/20</w:t>
      </w:r>
      <w:r w:rsidR="000E7DD5" w:rsidRPr="000E7DD5">
        <w:rPr>
          <w:rFonts w:ascii="Arial" w:hAnsi="Arial" w:cs="Arial"/>
          <w:lang w:val="hr-HR"/>
        </w:rPr>
        <w:t>2</w:t>
      </w:r>
      <w:r w:rsidR="0063008D">
        <w:rPr>
          <w:rFonts w:ascii="Arial" w:hAnsi="Arial" w:cs="Arial"/>
          <w:lang w:val="hr-HR"/>
        </w:rPr>
        <w:t>2</w:t>
      </w:r>
      <w:r w:rsidR="00E444A4" w:rsidRPr="000E7DD5">
        <w:rPr>
          <w:rFonts w:ascii="Arial" w:hAnsi="Arial" w:cs="Arial"/>
          <w:lang w:val="hr-HR"/>
        </w:rPr>
        <w:t>-2</w:t>
      </w:r>
    </w:p>
    <w:tbl>
      <w:tblPr>
        <w:tblW w:w="0" w:type="auto"/>
        <w:tblInd w:w="-410" w:type="dxa"/>
        <w:tblLook w:val="04A0" w:firstRow="1" w:lastRow="0" w:firstColumn="1" w:lastColumn="0" w:noHBand="0" w:noVBand="1"/>
      </w:tblPr>
      <w:tblGrid>
        <w:gridCol w:w="410"/>
        <w:gridCol w:w="3302"/>
        <w:gridCol w:w="608"/>
      </w:tblGrid>
      <w:tr w:rsidR="00915889" w:rsidRPr="000E7DD5" w:rsidTr="008D5DB9">
        <w:trPr>
          <w:gridBefore w:val="1"/>
          <w:gridAfter w:val="1"/>
          <w:wBefore w:w="410" w:type="dxa"/>
          <w:wAfter w:w="608" w:type="dxa"/>
        </w:trPr>
        <w:tc>
          <w:tcPr>
            <w:tcW w:w="3302" w:type="dxa"/>
          </w:tcPr>
          <w:p w:rsidR="00915889" w:rsidRPr="000E7DD5" w:rsidRDefault="00915889" w:rsidP="00177F65">
            <w:pPr>
              <w:jc w:val="center"/>
              <w:rPr>
                <w:rFonts w:ascii="Arial" w:hAnsi="Arial" w:cs="Arial"/>
                <w:lang w:val="hr-HR"/>
              </w:rPr>
            </w:pPr>
          </w:p>
        </w:tc>
      </w:tr>
      <w:tr w:rsidR="00915889" w:rsidRPr="000E7DD5" w:rsidTr="008D5DB9">
        <w:tc>
          <w:tcPr>
            <w:tcW w:w="4320" w:type="dxa"/>
            <w:gridSpan w:val="3"/>
            <w:tcMar>
              <w:top w:w="0" w:type="dxa"/>
              <w:left w:w="0" w:type="dxa"/>
              <w:bottom w:w="0" w:type="dxa"/>
              <w:right w:w="0" w:type="dxa"/>
            </w:tcMar>
          </w:tcPr>
          <w:p w:rsidR="00915889" w:rsidRPr="000E7DD5" w:rsidRDefault="00915889" w:rsidP="00177F65">
            <w:pPr>
              <w:pStyle w:val="VSVerzija"/>
              <w:jc w:val="right"/>
              <w:rPr>
                <w:rFonts w:ascii="Arial" w:hAnsi="Arial" w:cs="Arial"/>
              </w:rPr>
            </w:pPr>
          </w:p>
        </w:tc>
      </w:tr>
      <w:tr w:rsidR="00FF7E2D" w:rsidRPr="000E7DD5" w:rsidTr="008D5DB9">
        <w:tc>
          <w:tcPr>
            <w:tcW w:w="4320" w:type="dxa"/>
            <w:gridSpan w:val="3"/>
            <w:tcMar>
              <w:top w:w="0" w:type="dxa"/>
              <w:left w:w="0" w:type="dxa"/>
              <w:bottom w:w="0" w:type="dxa"/>
              <w:right w:w="0" w:type="dxa"/>
            </w:tcMar>
          </w:tcPr>
          <w:p w:rsidR="00FF7E2D" w:rsidRPr="000E7DD5" w:rsidRDefault="00FF7E2D" w:rsidP="00177F65">
            <w:pPr>
              <w:pStyle w:val="VSVerzija"/>
              <w:jc w:val="right"/>
              <w:rPr>
                <w:rFonts w:ascii="Arial" w:hAnsi="Arial" w:cs="Arial"/>
              </w:rPr>
            </w:pPr>
          </w:p>
        </w:tc>
      </w:tr>
    </w:tbl>
    <w:p w:rsidR="00EE596A" w:rsidRDefault="00EE596A" w:rsidP="00177F65">
      <w:pPr>
        <w:jc w:val="center"/>
        <w:rPr>
          <w:rFonts w:ascii="Arial" w:hAnsi="Arial" w:cs="Arial"/>
        </w:rPr>
      </w:pPr>
    </w:p>
    <w:p w:rsidR="003832A7" w:rsidRPr="000E7DD5" w:rsidRDefault="003832A7" w:rsidP="00177F65">
      <w:pPr>
        <w:jc w:val="center"/>
        <w:rPr>
          <w:rFonts w:ascii="Arial" w:hAnsi="Arial" w:cs="Arial"/>
        </w:rPr>
      </w:pPr>
    </w:p>
    <w:p w:rsidR="00312F04" w:rsidRPr="000E7DD5" w:rsidRDefault="00312F04" w:rsidP="00177F65">
      <w:pPr>
        <w:jc w:val="center"/>
        <w:rPr>
          <w:rFonts w:ascii="Arial" w:hAnsi="Arial" w:cs="Arial"/>
        </w:rPr>
      </w:pPr>
      <w:r w:rsidRPr="000E7DD5">
        <w:rPr>
          <w:rFonts w:ascii="Arial" w:hAnsi="Arial" w:cs="Arial"/>
        </w:rPr>
        <w:t>U   I M E   R E P U B L I K E   H R V A T S K E</w:t>
      </w:r>
    </w:p>
    <w:p w:rsidR="00312F04" w:rsidRPr="000E7DD5" w:rsidRDefault="00312F04" w:rsidP="00177F65">
      <w:pPr>
        <w:jc w:val="center"/>
        <w:rPr>
          <w:rFonts w:ascii="Arial" w:hAnsi="Arial" w:cs="Arial"/>
        </w:rPr>
      </w:pPr>
    </w:p>
    <w:p w:rsidR="00312F04" w:rsidRPr="000E7DD5" w:rsidRDefault="00312F04" w:rsidP="00177F65">
      <w:pPr>
        <w:jc w:val="center"/>
        <w:rPr>
          <w:rFonts w:ascii="Arial" w:hAnsi="Arial" w:cs="Arial"/>
        </w:rPr>
      </w:pPr>
      <w:r w:rsidRPr="000E7DD5">
        <w:rPr>
          <w:rFonts w:ascii="Arial" w:hAnsi="Arial" w:cs="Arial"/>
        </w:rPr>
        <w:t>P R E S U D A</w:t>
      </w:r>
    </w:p>
    <w:p w:rsidR="00EE596A" w:rsidRDefault="00EE596A" w:rsidP="00177F65">
      <w:pPr>
        <w:jc w:val="both"/>
        <w:rPr>
          <w:rFonts w:ascii="Arial" w:hAnsi="Arial" w:cs="Arial"/>
          <w:lang w:val="hr-HR"/>
        </w:rPr>
      </w:pPr>
    </w:p>
    <w:p w:rsidR="003832A7" w:rsidRPr="000E7DD5" w:rsidRDefault="003832A7" w:rsidP="00177F65">
      <w:pPr>
        <w:jc w:val="both"/>
        <w:rPr>
          <w:rFonts w:ascii="Arial" w:hAnsi="Arial" w:cs="Arial"/>
          <w:lang w:val="hr-HR"/>
        </w:rPr>
      </w:pPr>
    </w:p>
    <w:p w:rsidR="008E5D81" w:rsidRPr="00DF7DFC" w:rsidRDefault="00D32DEA" w:rsidP="004C3D7E">
      <w:pPr>
        <w:ind w:firstLine="708"/>
        <w:jc w:val="both"/>
        <w:rPr>
          <w:rFonts w:ascii="Arial" w:hAnsi="Arial" w:cs="Arial"/>
        </w:rPr>
      </w:pPr>
      <w:r w:rsidRPr="00DF7DFC">
        <w:rPr>
          <w:rFonts w:ascii="Arial" w:hAnsi="Arial" w:cs="Arial"/>
        </w:rPr>
        <w:t xml:space="preserve">Županijski sud u Osijeku, u vijeću sastavljenom od sudaca Melite Novoselac, predsjednika vijeća, Jadranke Toša </w:t>
      </w:r>
      <w:proofErr w:type="spellStart"/>
      <w:r w:rsidRPr="00DF7DFC">
        <w:rPr>
          <w:rFonts w:ascii="Arial" w:hAnsi="Arial" w:cs="Arial"/>
        </w:rPr>
        <w:t>Berečić</w:t>
      </w:r>
      <w:proofErr w:type="spellEnd"/>
      <w:r w:rsidRPr="00DF7DFC">
        <w:rPr>
          <w:rFonts w:ascii="Arial" w:hAnsi="Arial" w:cs="Arial"/>
        </w:rPr>
        <w:t xml:space="preserve">, člana vijeća i suca izvjestitelja i </w:t>
      </w:r>
      <w:r w:rsidR="003733A3" w:rsidRPr="00DF7DFC">
        <w:rPr>
          <w:rFonts w:ascii="Arial" w:hAnsi="Arial" w:cs="Arial"/>
        </w:rPr>
        <w:t>Jadranke Prelić</w:t>
      </w:r>
      <w:r w:rsidR="00391537" w:rsidRPr="00DF7DFC">
        <w:rPr>
          <w:rFonts w:ascii="Arial" w:hAnsi="Arial" w:cs="Arial"/>
        </w:rPr>
        <w:t>,</w:t>
      </w:r>
      <w:r w:rsidRPr="00DF7DFC">
        <w:rPr>
          <w:rFonts w:ascii="Arial" w:hAnsi="Arial" w:cs="Arial"/>
        </w:rPr>
        <w:t xml:space="preserve">  člana vijeća</w:t>
      </w:r>
      <w:r w:rsidR="0005732C" w:rsidRPr="00DF7DFC">
        <w:rPr>
          <w:rFonts w:ascii="Arial" w:hAnsi="Arial" w:cs="Arial"/>
        </w:rPr>
        <w:t>, u građansko pravnoj stvari tužitelj</w:t>
      </w:r>
      <w:r w:rsidR="0063008D" w:rsidRPr="00DF7DFC">
        <w:rPr>
          <w:rFonts w:ascii="Arial" w:hAnsi="Arial" w:cs="Arial"/>
        </w:rPr>
        <w:t>ice B</w:t>
      </w:r>
      <w:r w:rsidR="002F53ED">
        <w:rPr>
          <w:rFonts w:ascii="Arial" w:hAnsi="Arial" w:cs="Arial"/>
        </w:rPr>
        <w:t>.</w:t>
      </w:r>
      <w:r w:rsidR="0063008D" w:rsidRPr="00DF7DFC">
        <w:rPr>
          <w:rFonts w:ascii="Arial" w:hAnsi="Arial" w:cs="Arial"/>
        </w:rPr>
        <w:t xml:space="preserve"> K</w:t>
      </w:r>
      <w:r w:rsidR="002F53ED">
        <w:rPr>
          <w:rFonts w:ascii="Arial" w:hAnsi="Arial" w:cs="Arial"/>
        </w:rPr>
        <w:t>.</w:t>
      </w:r>
      <w:r w:rsidR="0063008D" w:rsidRPr="00DF7DFC">
        <w:rPr>
          <w:rFonts w:ascii="Arial" w:hAnsi="Arial" w:cs="Arial"/>
        </w:rPr>
        <w:t xml:space="preserve"> (OIB: </w:t>
      </w:r>
      <w:r w:rsidR="002F53ED">
        <w:rPr>
          <w:rFonts w:ascii="Arial" w:hAnsi="Arial" w:cs="Arial"/>
        </w:rPr>
        <w:t>.</w:t>
      </w:r>
      <w:r w:rsidR="0063008D" w:rsidRPr="00DF7DFC">
        <w:rPr>
          <w:rFonts w:ascii="Arial" w:hAnsi="Arial" w:cs="Arial"/>
        </w:rPr>
        <w:t>) iz T</w:t>
      </w:r>
      <w:r w:rsidR="002F53ED">
        <w:rPr>
          <w:rFonts w:ascii="Arial" w:hAnsi="Arial" w:cs="Arial"/>
        </w:rPr>
        <w:t>.</w:t>
      </w:r>
      <w:r w:rsidR="0063008D" w:rsidRPr="00DF7DFC">
        <w:rPr>
          <w:rFonts w:ascii="Arial" w:hAnsi="Arial" w:cs="Arial"/>
        </w:rPr>
        <w:t xml:space="preserve">, </w:t>
      </w:r>
      <w:r w:rsidR="002F53ED">
        <w:rPr>
          <w:rFonts w:ascii="Arial" w:hAnsi="Arial" w:cs="Arial"/>
        </w:rPr>
        <w:t>...</w:t>
      </w:r>
      <w:r w:rsidR="0063008D" w:rsidRPr="00DF7DFC">
        <w:rPr>
          <w:rFonts w:ascii="Arial" w:hAnsi="Arial" w:cs="Arial"/>
        </w:rPr>
        <w:t>, koju zastupa S</w:t>
      </w:r>
      <w:r w:rsidR="002F53ED">
        <w:rPr>
          <w:rFonts w:ascii="Arial" w:hAnsi="Arial" w:cs="Arial"/>
        </w:rPr>
        <w:t>.</w:t>
      </w:r>
      <w:r w:rsidR="0063008D" w:rsidRPr="00DF7DFC">
        <w:rPr>
          <w:rFonts w:ascii="Arial" w:hAnsi="Arial" w:cs="Arial"/>
        </w:rPr>
        <w:t xml:space="preserve"> Č</w:t>
      </w:r>
      <w:r w:rsidR="002F53ED">
        <w:rPr>
          <w:rFonts w:ascii="Arial" w:hAnsi="Arial" w:cs="Arial"/>
        </w:rPr>
        <w:t>.</w:t>
      </w:r>
      <w:r w:rsidR="0063008D" w:rsidRPr="00DF7DFC">
        <w:rPr>
          <w:rFonts w:ascii="Arial" w:hAnsi="Arial" w:cs="Arial"/>
        </w:rPr>
        <w:t>, odvjetnica iz Z</w:t>
      </w:r>
      <w:r w:rsidR="002F53ED">
        <w:rPr>
          <w:rFonts w:ascii="Arial" w:hAnsi="Arial" w:cs="Arial"/>
        </w:rPr>
        <w:t>.</w:t>
      </w:r>
      <w:r w:rsidR="0063008D" w:rsidRPr="00DF7DFC">
        <w:rPr>
          <w:rFonts w:ascii="Arial" w:hAnsi="Arial" w:cs="Arial"/>
        </w:rPr>
        <w:t>, protiv tužene D</w:t>
      </w:r>
      <w:r w:rsidR="002F53ED">
        <w:rPr>
          <w:rFonts w:ascii="Arial" w:hAnsi="Arial" w:cs="Arial"/>
        </w:rPr>
        <w:t>.</w:t>
      </w:r>
      <w:r w:rsidR="0063008D" w:rsidRPr="00DF7DFC">
        <w:rPr>
          <w:rFonts w:ascii="Arial" w:hAnsi="Arial" w:cs="Arial"/>
        </w:rPr>
        <w:t xml:space="preserve"> B</w:t>
      </w:r>
      <w:r w:rsidR="002F53ED">
        <w:rPr>
          <w:rFonts w:ascii="Arial" w:hAnsi="Arial" w:cs="Arial"/>
        </w:rPr>
        <w:t>.</w:t>
      </w:r>
      <w:r w:rsidR="0063008D" w:rsidRPr="00DF7DFC">
        <w:rPr>
          <w:rFonts w:ascii="Arial" w:hAnsi="Arial" w:cs="Arial"/>
        </w:rPr>
        <w:t xml:space="preserve">, nepoznata boravišta, </w:t>
      </w:r>
      <w:r w:rsidR="004C3D7E" w:rsidRPr="00DF7DFC">
        <w:rPr>
          <w:rFonts w:ascii="Arial" w:hAnsi="Arial" w:cs="Arial"/>
        </w:rPr>
        <w:t xml:space="preserve">koju </w:t>
      </w:r>
      <w:r w:rsidR="0063008D" w:rsidRPr="00DF7DFC">
        <w:rPr>
          <w:rFonts w:ascii="Arial" w:hAnsi="Arial" w:cs="Arial"/>
        </w:rPr>
        <w:t>zastupa privremen</w:t>
      </w:r>
      <w:r w:rsidR="004C3D7E" w:rsidRPr="00DF7DFC">
        <w:rPr>
          <w:rFonts w:ascii="Arial" w:hAnsi="Arial" w:cs="Arial"/>
        </w:rPr>
        <w:t>i</w:t>
      </w:r>
      <w:r w:rsidR="0063008D" w:rsidRPr="00DF7DFC">
        <w:rPr>
          <w:rFonts w:ascii="Arial" w:hAnsi="Arial" w:cs="Arial"/>
        </w:rPr>
        <w:t xml:space="preserve"> zastupnik V</w:t>
      </w:r>
      <w:r w:rsidR="00D96B05">
        <w:rPr>
          <w:rFonts w:ascii="Arial" w:hAnsi="Arial" w:cs="Arial"/>
        </w:rPr>
        <w:t>.</w:t>
      </w:r>
      <w:r w:rsidR="0063008D" w:rsidRPr="00DF7DFC">
        <w:rPr>
          <w:rFonts w:ascii="Arial" w:hAnsi="Arial" w:cs="Arial"/>
        </w:rPr>
        <w:t xml:space="preserve"> P</w:t>
      </w:r>
      <w:r w:rsidR="00D96B05">
        <w:rPr>
          <w:rFonts w:ascii="Arial" w:hAnsi="Arial" w:cs="Arial"/>
        </w:rPr>
        <w:t>.</w:t>
      </w:r>
      <w:r w:rsidR="0063008D" w:rsidRPr="00DF7DFC">
        <w:rPr>
          <w:rFonts w:ascii="Arial" w:hAnsi="Arial" w:cs="Arial"/>
        </w:rPr>
        <w:t>, odvjetnik</w:t>
      </w:r>
      <w:r w:rsidR="004C3D7E" w:rsidRPr="00DF7DFC">
        <w:rPr>
          <w:rFonts w:ascii="Arial" w:hAnsi="Arial" w:cs="Arial"/>
        </w:rPr>
        <w:t xml:space="preserve"> iz</w:t>
      </w:r>
      <w:r w:rsidR="0063008D" w:rsidRPr="00DF7DFC">
        <w:rPr>
          <w:rFonts w:ascii="Arial" w:hAnsi="Arial" w:cs="Arial"/>
        </w:rPr>
        <w:t xml:space="preserve"> P</w:t>
      </w:r>
      <w:r w:rsidR="00D96B05">
        <w:rPr>
          <w:rFonts w:ascii="Arial" w:hAnsi="Arial" w:cs="Arial"/>
        </w:rPr>
        <w:t>.</w:t>
      </w:r>
      <w:r w:rsidR="0063008D" w:rsidRPr="00DF7DFC">
        <w:rPr>
          <w:rFonts w:ascii="Arial" w:hAnsi="Arial" w:cs="Arial"/>
        </w:rPr>
        <w:t>,</w:t>
      </w:r>
      <w:r w:rsidR="004C3D7E" w:rsidRPr="00DF7DFC">
        <w:rPr>
          <w:rFonts w:ascii="Arial" w:hAnsi="Arial" w:cs="Arial"/>
        </w:rPr>
        <w:t xml:space="preserve"> </w:t>
      </w:r>
      <w:r w:rsidR="00C74E07" w:rsidRPr="00DF7DFC">
        <w:rPr>
          <w:rFonts w:ascii="Arial" w:hAnsi="Arial" w:cs="Arial"/>
        </w:rPr>
        <w:t xml:space="preserve">radi utvrđenja prava vlasništva, </w:t>
      </w:r>
      <w:r w:rsidR="00970936" w:rsidRPr="00DF7DFC">
        <w:rPr>
          <w:rFonts w:ascii="Arial" w:hAnsi="Arial" w:cs="Arial"/>
        </w:rPr>
        <w:t xml:space="preserve">rješavajući žalbu </w:t>
      </w:r>
      <w:r w:rsidR="003E28A0" w:rsidRPr="00DF7DFC">
        <w:rPr>
          <w:rFonts w:ascii="Arial" w:hAnsi="Arial" w:cs="Arial"/>
        </w:rPr>
        <w:t>tužen</w:t>
      </w:r>
      <w:r w:rsidR="007C1E55">
        <w:rPr>
          <w:rFonts w:ascii="Arial" w:hAnsi="Arial" w:cs="Arial"/>
        </w:rPr>
        <w:t>e</w:t>
      </w:r>
      <w:r w:rsidR="004F5A96" w:rsidRPr="00DF7DFC">
        <w:rPr>
          <w:rFonts w:ascii="Arial" w:hAnsi="Arial" w:cs="Arial"/>
        </w:rPr>
        <w:t xml:space="preserve"> </w:t>
      </w:r>
      <w:r w:rsidR="0005732C" w:rsidRPr="00DF7DFC">
        <w:rPr>
          <w:rFonts w:ascii="Arial" w:hAnsi="Arial" w:cs="Arial"/>
        </w:rPr>
        <w:t>protiv presude</w:t>
      </w:r>
      <w:r w:rsidR="00AE3E4A" w:rsidRPr="00DF7DFC">
        <w:rPr>
          <w:rFonts w:ascii="Arial" w:hAnsi="Arial" w:cs="Arial"/>
        </w:rPr>
        <w:t xml:space="preserve"> </w:t>
      </w:r>
      <w:r w:rsidR="00AE3E4A" w:rsidRPr="00DF7DFC">
        <w:rPr>
          <w:rFonts w:ascii="Arial" w:hAnsi="Arial" w:cs="Arial"/>
          <w:lang w:val="hr-HR"/>
        </w:rPr>
        <w:t xml:space="preserve">Općinskog suda u </w:t>
      </w:r>
      <w:r w:rsidR="004C3D7E" w:rsidRPr="00DF7DFC">
        <w:rPr>
          <w:rFonts w:ascii="Arial" w:hAnsi="Arial" w:cs="Arial"/>
          <w:lang w:val="hr-HR"/>
        </w:rPr>
        <w:t xml:space="preserve">Pazinu, </w:t>
      </w:r>
      <w:r w:rsidR="00AB3D49" w:rsidRPr="00DF7DFC">
        <w:rPr>
          <w:rFonts w:ascii="Arial" w:hAnsi="Arial" w:cs="Arial"/>
          <w:lang w:val="hr-HR"/>
        </w:rPr>
        <w:t xml:space="preserve">Stalna služba u </w:t>
      </w:r>
      <w:r w:rsidR="004C3D7E" w:rsidRPr="00DF7DFC">
        <w:rPr>
          <w:rFonts w:ascii="Arial" w:hAnsi="Arial" w:cs="Arial"/>
          <w:lang w:val="hr-HR"/>
        </w:rPr>
        <w:t xml:space="preserve">Poreču - </w:t>
      </w:r>
      <w:proofErr w:type="spellStart"/>
      <w:r w:rsidR="004C3D7E" w:rsidRPr="00DF7DFC">
        <w:rPr>
          <w:rFonts w:ascii="Arial" w:hAnsi="Arial" w:cs="Arial"/>
          <w:lang w:val="hr-HR"/>
        </w:rPr>
        <w:t>Parenzo</w:t>
      </w:r>
      <w:proofErr w:type="spellEnd"/>
      <w:r w:rsidR="00AB3D49" w:rsidRPr="00DF7DFC">
        <w:rPr>
          <w:rFonts w:ascii="Arial" w:hAnsi="Arial" w:cs="Arial"/>
          <w:lang w:val="hr-HR"/>
        </w:rPr>
        <w:t xml:space="preserve">, od </w:t>
      </w:r>
      <w:r w:rsidR="004C3D7E" w:rsidRPr="00DF7DFC">
        <w:rPr>
          <w:rFonts w:ascii="Arial" w:hAnsi="Arial" w:cs="Arial"/>
          <w:lang w:val="hr-HR"/>
        </w:rPr>
        <w:t>2</w:t>
      </w:r>
      <w:r w:rsidR="00AB3D49" w:rsidRPr="00DF7DFC">
        <w:rPr>
          <w:rFonts w:ascii="Arial" w:hAnsi="Arial" w:cs="Arial"/>
          <w:lang w:val="hr-HR"/>
        </w:rPr>
        <w:t>7. prosinca 20</w:t>
      </w:r>
      <w:r w:rsidR="004C3D7E" w:rsidRPr="00DF7DFC">
        <w:rPr>
          <w:rFonts w:ascii="Arial" w:hAnsi="Arial" w:cs="Arial"/>
          <w:lang w:val="hr-HR"/>
        </w:rPr>
        <w:t>2</w:t>
      </w:r>
      <w:r w:rsidR="00AB3D49" w:rsidRPr="00DF7DFC">
        <w:rPr>
          <w:rFonts w:ascii="Arial" w:hAnsi="Arial" w:cs="Arial"/>
          <w:lang w:val="hr-HR"/>
        </w:rPr>
        <w:t>1., poslovni broj P-</w:t>
      </w:r>
      <w:r w:rsidR="004C3D7E" w:rsidRPr="00DF7DFC">
        <w:rPr>
          <w:rFonts w:ascii="Arial" w:hAnsi="Arial" w:cs="Arial"/>
          <w:lang w:val="hr-HR"/>
        </w:rPr>
        <w:t>2430</w:t>
      </w:r>
      <w:r w:rsidR="00AB3D49" w:rsidRPr="00DF7DFC">
        <w:rPr>
          <w:rFonts w:ascii="Arial" w:hAnsi="Arial" w:cs="Arial"/>
          <w:lang w:val="hr-HR"/>
        </w:rPr>
        <w:t>/201</w:t>
      </w:r>
      <w:r w:rsidR="004C3D7E" w:rsidRPr="00DF7DFC">
        <w:rPr>
          <w:rFonts w:ascii="Arial" w:hAnsi="Arial" w:cs="Arial"/>
          <w:lang w:val="hr-HR"/>
        </w:rPr>
        <w:t>9-36</w:t>
      </w:r>
      <w:r w:rsidR="00AB3D49" w:rsidRPr="00DF7DFC">
        <w:rPr>
          <w:rFonts w:ascii="Arial" w:hAnsi="Arial" w:cs="Arial"/>
          <w:lang w:val="hr-HR"/>
        </w:rPr>
        <w:t xml:space="preserve">, </w:t>
      </w:r>
      <w:r w:rsidR="003736D4" w:rsidRPr="00DF7DFC">
        <w:rPr>
          <w:rFonts w:ascii="Arial" w:hAnsi="Arial" w:cs="Arial"/>
        </w:rPr>
        <w:t xml:space="preserve">u sjednici vijeća održanoj </w:t>
      </w:r>
      <w:r w:rsidR="00DF7DFC" w:rsidRPr="00DF7DFC">
        <w:rPr>
          <w:rFonts w:ascii="Arial" w:hAnsi="Arial" w:cs="Arial"/>
        </w:rPr>
        <w:t>25. kolovoza</w:t>
      </w:r>
      <w:r w:rsidR="00AB3D49" w:rsidRPr="00DF7DFC">
        <w:rPr>
          <w:rFonts w:ascii="Arial" w:hAnsi="Arial" w:cs="Arial"/>
        </w:rPr>
        <w:t xml:space="preserve"> </w:t>
      </w:r>
      <w:r w:rsidR="005910BA" w:rsidRPr="00DF7DFC">
        <w:rPr>
          <w:rFonts w:ascii="Arial" w:hAnsi="Arial" w:cs="Arial"/>
        </w:rPr>
        <w:t>20</w:t>
      </w:r>
      <w:r w:rsidR="00471F39" w:rsidRPr="00DF7DFC">
        <w:rPr>
          <w:rFonts w:ascii="Arial" w:hAnsi="Arial" w:cs="Arial"/>
        </w:rPr>
        <w:t>2</w:t>
      </w:r>
      <w:r w:rsidR="00DF7DFC" w:rsidRPr="00DF7DFC">
        <w:rPr>
          <w:rFonts w:ascii="Arial" w:hAnsi="Arial" w:cs="Arial"/>
        </w:rPr>
        <w:t>2</w:t>
      </w:r>
      <w:r w:rsidR="005910BA" w:rsidRPr="00DF7DFC">
        <w:rPr>
          <w:rFonts w:ascii="Arial" w:hAnsi="Arial" w:cs="Arial"/>
        </w:rPr>
        <w:t>.,</w:t>
      </w:r>
    </w:p>
    <w:p w:rsidR="006560AE" w:rsidRDefault="006560AE" w:rsidP="008E5D81">
      <w:pPr>
        <w:ind w:firstLine="708"/>
        <w:rPr>
          <w:rFonts w:ascii="Arial" w:hAnsi="Arial" w:cs="Arial"/>
        </w:rPr>
      </w:pPr>
    </w:p>
    <w:p w:rsidR="003832A7" w:rsidRPr="00DE16A9" w:rsidRDefault="003832A7" w:rsidP="008E5D81">
      <w:pPr>
        <w:ind w:firstLine="708"/>
        <w:rPr>
          <w:rFonts w:ascii="Arial" w:hAnsi="Arial" w:cs="Arial"/>
        </w:rPr>
      </w:pPr>
    </w:p>
    <w:p w:rsidR="0009625C" w:rsidRPr="00DE16A9" w:rsidRDefault="007A3D61" w:rsidP="00177F65">
      <w:pPr>
        <w:jc w:val="center"/>
        <w:rPr>
          <w:rFonts w:ascii="Arial" w:hAnsi="Arial" w:cs="Arial"/>
          <w:lang w:val="hr-HR"/>
        </w:rPr>
      </w:pPr>
      <w:r w:rsidRPr="00DE16A9">
        <w:rPr>
          <w:rFonts w:ascii="Arial" w:hAnsi="Arial" w:cs="Arial"/>
          <w:lang w:val="hr-HR"/>
        </w:rPr>
        <w:t>p r e s u d i o      j e</w:t>
      </w:r>
    </w:p>
    <w:p w:rsidR="006560AE" w:rsidRDefault="006560AE" w:rsidP="00177F65">
      <w:pPr>
        <w:rPr>
          <w:rFonts w:ascii="Arial" w:hAnsi="Arial" w:cs="Arial"/>
          <w:lang w:val="hr-HR"/>
        </w:rPr>
      </w:pPr>
    </w:p>
    <w:p w:rsidR="003832A7" w:rsidRPr="00DE16A9" w:rsidRDefault="003832A7" w:rsidP="00177F65">
      <w:pPr>
        <w:rPr>
          <w:rFonts w:ascii="Arial" w:hAnsi="Arial" w:cs="Arial"/>
          <w:lang w:val="hr-HR"/>
        </w:rPr>
      </w:pPr>
    </w:p>
    <w:p w:rsidR="00DD260A" w:rsidRDefault="00155485" w:rsidP="00AB3D49">
      <w:pPr>
        <w:ind w:firstLine="708"/>
        <w:jc w:val="both"/>
        <w:rPr>
          <w:rFonts w:ascii="Arial" w:hAnsi="Arial" w:cs="Arial"/>
          <w:lang w:val="hr-HR"/>
        </w:rPr>
      </w:pPr>
      <w:r w:rsidRPr="00DE16A9">
        <w:rPr>
          <w:rFonts w:ascii="Arial" w:hAnsi="Arial" w:cs="Arial"/>
          <w:lang w:val="hr-HR"/>
        </w:rPr>
        <w:t xml:space="preserve">Žalba </w:t>
      </w:r>
      <w:r w:rsidR="00BE64EB" w:rsidRPr="00DE16A9">
        <w:rPr>
          <w:rFonts w:ascii="Arial" w:hAnsi="Arial" w:cs="Arial"/>
          <w:lang w:val="hr-HR"/>
        </w:rPr>
        <w:t xml:space="preserve">se odbija </w:t>
      </w:r>
      <w:r w:rsidR="002B54B3" w:rsidRPr="00DE16A9">
        <w:rPr>
          <w:rFonts w:ascii="Arial" w:hAnsi="Arial" w:cs="Arial"/>
          <w:lang w:val="hr-HR"/>
        </w:rPr>
        <w:t>kao neosnovan</w:t>
      </w:r>
      <w:r w:rsidR="00AC307E" w:rsidRPr="00DE16A9">
        <w:rPr>
          <w:rFonts w:ascii="Arial" w:hAnsi="Arial" w:cs="Arial"/>
          <w:lang w:val="hr-HR"/>
        </w:rPr>
        <w:t>a</w:t>
      </w:r>
      <w:r w:rsidR="002B54B3" w:rsidRPr="00DE16A9">
        <w:rPr>
          <w:rFonts w:ascii="Arial" w:hAnsi="Arial" w:cs="Arial"/>
          <w:lang w:val="hr-HR"/>
        </w:rPr>
        <w:t xml:space="preserve"> i </w:t>
      </w:r>
      <w:r w:rsidR="002E4AEB" w:rsidRPr="00DE16A9">
        <w:rPr>
          <w:rFonts w:ascii="Arial" w:hAnsi="Arial" w:cs="Arial"/>
          <w:lang w:val="hr-HR"/>
        </w:rPr>
        <w:t xml:space="preserve">potvrđuje </w:t>
      </w:r>
      <w:r w:rsidR="002B54B3" w:rsidRPr="00DE16A9">
        <w:rPr>
          <w:rFonts w:ascii="Arial" w:hAnsi="Arial" w:cs="Arial"/>
          <w:lang w:val="hr-HR"/>
        </w:rPr>
        <w:t xml:space="preserve">presuda </w:t>
      </w:r>
      <w:r w:rsidR="00DC5CCB" w:rsidRPr="00DF7DFC">
        <w:rPr>
          <w:rFonts w:ascii="Arial" w:hAnsi="Arial" w:cs="Arial"/>
          <w:lang w:val="hr-HR"/>
        </w:rPr>
        <w:t xml:space="preserve">Općinskog suda u Pazinu, Stalna služba u Poreču - </w:t>
      </w:r>
      <w:proofErr w:type="spellStart"/>
      <w:r w:rsidR="00DC5CCB" w:rsidRPr="00DF7DFC">
        <w:rPr>
          <w:rFonts w:ascii="Arial" w:hAnsi="Arial" w:cs="Arial"/>
          <w:lang w:val="hr-HR"/>
        </w:rPr>
        <w:t>Parenzo</w:t>
      </w:r>
      <w:proofErr w:type="spellEnd"/>
      <w:r w:rsidR="00DC5CCB" w:rsidRPr="00DF7DFC">
        <w:rPr>
          <w:rFonts w:ascii="Arial" w:hAnsi="Arial" w:cs="Arial"/>
          <w:lang w:val="hr-HR"/>
        </w:rPr>
        <w:t>, od 27. prosinca 2021., poslovni broj P-2430/2019-36</w:t>
      </w:r>
      <w:r w:rsidR="00DC5CCB">
        <w:rPr>
          <w:rFonts w:ascii="Arial" w:hAnsi="Arial" w:cs="Arial"/>
          <w:lang w:val="hr-HR"/>
        </w:rPr>
        <w:t>.</w:t>
      </w:r>
    </w:p>
    <w:p w:rsidR="00AB3D49" w:rsidRPr="00DE16A9" w:rsidRDefault="00AB3D49" w:rsidP="00AB3D49">
      <w:pPr>
        <w:ind w:firstLine="708"/>
        <w:jc w:val="both"/>
        <w:rPr>
          <w:rFonts w:ascii="Arial" w:hAnsi="Arial" w:cs="Arial"/>
          <w:lang w:val="hr-HR"/>
        </w:rPr>
      </w:pPr>
    </w:p>
    <w:p w:rsidR="003832A7" w:rsidRDefault="003832A7" w:rsidP="00177F65">
      <w:pPr>
        <w:jc w:val="center"/>
        <w:rPr>
          <w:rFonts w:ascii="Arial" w:hAnsi="Arial" w:cs="Arial"/>
          <w:lang w:val="hr-HR"/>
        </w:rPr>
      </w:pPr>
    </w:p>
    <w:p w:rsidR="0009625C" w:rsidRPr="00DE16A9" w:rsidRDefault="0009625C" w:rsidP="00177F65">
      <w:pPr>
        <w:jc w:val="center"/>
        <w:rPr>
          <w:rFonts w:ascii="Arial" w:hAnsi="Arial" w:cs="Arial"/>
          <w:lang w:val="hr-HR"/>
        </w:rPr>
      </w:pPr>
      <w:r w:rsidRPr="00DE16A9">
        <w:rPr>
          <w:rFonts w:ascii="Arial" w:hAnsi="Arial" w:cs="Arial"/>
          <w:lang w:val="hr-HR"/>
        </w:rPr>
        <w:t>Obrazloženje</w:t>
      </w:r>
    </w:p>
    <w:p w:rsidR="006560AE" w:rsidRDefault="006560AE" w:rsidP="00177F65">
      <w:pPr>
        <w:jc w:val="both"/>
        <w:rPr>
          <w:rFonts w:ascii="Arial" w:hAnsi="Arial" w:cs="Arial"/>
          <w:lang w:val="hr-HR"/>
        </w:rPr>
      </w:pPr>
    </w:p>
    <w:p w:rsidR="00A77C38" w:rsidRPr="00DE16A9" w:rsidRDefault="00A77C38" w:rsidP="00177F65">
      <w:pPr>
        <w:jc w:val="both"/>
        <w:rPr>
          <w:rFonts w:ascii="Arial" w:hAnsi="Arial" w:cs="Arial"/>
          <w:lang w:val="hr-HR"/>
        </w:rPr>
      </w:pPr>
    </w:p>
    <w:p w:rsidR="00AF5356" w:rsidRPr="00DC5CCB" w:rsidRDefault="00983164" w:rsidP="00983164">
      <w:pPr>
        <w:jc w:val="both"/>
        <w:rPr>
          <w:rFonts w:ascii="Arial" w:hAnsi="Arial" w:cs="Arial"/>
          <w:lang w:val="hr-HR"/>
        </w:rPr>
      </w:pPr>
      <w:r w:rsidRPr="00DC5CCB">
        <w:rPr>
          <w:rFonts w:ascii="Arial" w:hAnsi="Arial" w:cs="Arial"/>
          <w:lang w:val="hr-HR"/>
        </w:rPr>
        <w:t xml:space="preserve">1. </w:t>
      </w:r>
      <w:r w:rsidR="002B1682" w:rsidRPr="00DC5CCB">
        <w:rPr>
          <w:rFonts w:ascii="Arial" w:hAnsi="Arial" w:cs="Arial"/>
          <w:lang w:val="hr-HR"/>
        </w:rPr>
        <w:t xml:space="preserve">Presudom prvostupanjskog suda </w:t>
      </w:r>
      <w:r w:rsidR="003733A3" w:rsidRPr="00DC5CCB">
        <w:rPr>
          <w:rFonts w:ascii="Arial" w:hAnsi="Arial" w:cs="Arial"/>
          <w:lang w:val="hr-HR"/>
        </w:rPr>
        <w:t>suđeno</w:t>
      </w:r>
      <w:r w:rsidR="008302B8" w:rsidRPr="00DC5CCB">
        <w:rPr>
          <w:rFonts w:ascii="Arial" w:hAnsi="Arial" w:cs="Arial"/>
          <w:lang w:val="hr-HR"/>
        </w:rPr>
        <w:t xml:space="preserve"> </w:t>
      </w:r>
      <w:r w:rsidR="002B1682" w:rsidRPr="00DC5CCB">
        <w:rPr>
          <w:rFonts w:ascii="Arial" w:hAnsi="Arial" w:cs="Arial"/>
          <w:lang w:val="hr-HR"/>
        </w:rPr>
        <w:t>je:</w:t>
      </w:r>
    </w:p>
    <w:p w:rsidR="008F6FA7" w:rsidRPr="00DC5CCB" w:rsidRDefault="008F6FA7" w:rsidP="008F6FA7">
      <w:pPr>
        <w:ind w:firstLine="708"/>
        <w:jc w:val="both"/>
        <w:rPr>
          <w:rFonts w:ascii="Arial" w:hAnsi="Arial" w:cs="Arial"/>
        </w:rPr>
      </w:pPr>
    </w:p>
    <w:p w:rsidR="00DF7DFC" w:rsidRPr="00DC5CCB" w:rsidRDefault="0063008D" w:rsidP="00DF7DFC">
      <w:pPr>
        <w:ind w:firstLine="708"/>
        <w:jc w:val="both"/>
        <w:rPr>
          <w:rFonts w:ascii="Arial" w:hAnsi="Arial" w:cs="Arial"/>
        </w:rPr>
      </w:pPr>
      <w:r w:rsidRPr="00DC5CCB">
        <w:rPr>
          <w:rFonts w:ascii="Arial" w:hAnsi="Arial" w:cs="Arial"/>
        </w:rPr>
        <w:t xml:space="preserve">"I Utvrđuje se da je tužiteljica vlasnica u 3/9 dijela nekretnine </w:t>
      </w:r>
      <w:proofErr w:type="spellStart"/>
      <w:r w:rsidRPr="00DC5CCB">
        <w:rPr>
          <w:rFonts w:ascii="Arial" w:hAnsi="Arial" w:cs="Arial"/>
        </w:rPr>
        <w:t>k.č</w:t>
      </w:r>
      <w:proofErr w:type="spellEnd"/>
      <w:r w:rsidRPr="00DC5CCB">
        <w:rPr>
          <w:rFonts w:ascii="Arial" w:hAnsi="Arial" w:cs="Arial"/>
        </w:rPr>
        <w:t xml:space="preserve">. br. </w:t>
      </w:r>
      <w:proofErr w:type="spellStart"/>
      <w:r w:rsidRPr="00DC5CCB">
        <w:rPr>
          <w:rFonts w:ascii="Arial" w:hAnsi="Arial" w:cs="Arial"/>
        </w:rPr>
        <w:t>zgr</w:t>
      </w:r>
      <w:proofErr w:type="spellEnd"/>
      <w:r w:rsidRPr="00DC5CCB">
        <w:rPr>
          <w:rFonts w:ascii="Arial" w:hAnsi="Arial" w:cs="Arial"/>
        </w:rPr>
        <w:t xml:space="preserve">. </w:t>
      </w:r>
      <w:r w:rsidR="00CC116B">
        <w:rPr>
          <w:rFonts w:ascii="Arial" w:hAnsi="Arial" w:cs="Arial"/>
        </w:rPr>
        <w:t>...</w:t>
      </w:r>
      <w:r w:rsidRPr="00DC5CCB">
        <w:rPr>
          <w:rFonts w:ascii="Arial" w:hAnsi="Arial" w:cs="Arial"/>
        </w:rPr>
        <w:t xml:space="preserve">, upisane u </w:t>
      </w:r>
      <w:proofErr w:type="spellStart"/>
      <w:r w:rsidRPr="00DC5CCB">
        <w:rPr>
          <w:rFonts w:ascii="Arial" w:hAnsi="Arial" w:cs="Arial"/>
        </w:rPr>
        <w:t>z.k</w:t>
      </w:r>
      <w:proofErr w:type="spellEnd"/>
      <w:r w:rsidRPr="00DC5CCB">
        <w:rPr>
          <w:rFonts w:ascii="Arial" w:hAnsi="Arial" w:cs="Arial"/>
        </w:rPr>
        <w:t xml:space="preserve">. ul. br. </w:t>
      </w:r>
      <w:r w:rsidR="00CC116B">
        <w:rPr>
          <w:rFonts w:ascii="Arial" w:hAnsi="Arial" w:cs="Arial"/>
        </w:rPr>
        <w:t>...</w:t>
      </w:r>
      <w:r w:rsidRPr="00DC5CCB">
        <w:rPr>
          <w:rFonts w:ascii="Arial" w:hAnsi="Arial" w:cs="Arial"/>
        </w:rPr>
        <w:t xml:space="preserve">, k.o. </w:t>
      </w:r>
      <w:r w:rsidR="00CC116B">
        <w:rPr>
          <w:rFonts w:ascii="Arial" w:hAnsi="Arial" w:cs="Arial"/>
        </w:rPr>
        <w:t>...</w:t>
      </w:r>
      <w:r w:rsidRPr="00DC5CCB">
        <w:rPr>
          <w:rFonts w:ascii="Arial" w:hAnsi="Arial" w:cs="Arial"/>
        </w:rPr>
        <w:t xml:space="preserve">, što je tuženica dužna priznati, te trpjeti da tužiteljica na temelju ove presude, a nakon njezine pravomoćnosti, upiše pravo vlasništva u zemljišnim knjigama na svoje ime, uz istovremeno brisanje tog prava s imena tuženice. </w:t>
      </w:r>
    </w:p>
    <w:p w:rsidR="003733A3" w:rsidRPr="00DC5CCB" w:rsidRDefault="0063008D" w:rsidP="00DF7DFC">
      <w:pPr>
        <w:ind w:firstLine="708"/>
        <w:jc w:val="both"/>
        <w:rPr>
          <w:rFonts w:ascii="Arial" w:hAnsi="Arial" w:cs="Arial"/>
        </w:rPr>
      </w:pPr>
      <w:r w:rsidRPr="00DC5CCB">
        <w:rPr>
          <w:rFonts w:ascii="Arial" w:hAnsi="Arial" w:cs="Arial"/>
        </w:rPr>
        <w:t>II Dužna je tuženica tužiteljici naknaditi parnični trošak u iznosu 7.200,00 kn, u roku 15 dana, dok se u preostalom dijelu zahtjev tužiteljice za nadoknadu parničnog troška odbija."</w:t>
      </w:r>
    </w:p>
    <w:p w:rsidR="0063008D" w:rsidRPr="00DC5CCB" w:rsidRDefault="0063008D" w:rsidP="00D51E8D">
      <w:pPr>
        <w:jc w:val="both"/>
        <w:rPr>
          <w:rFonts w:ascii="Arial" w:hAnsi="Arial" w:cs="Arial"/>
        </w:rPr>
      </w:pPr>
    </w:p>
    <w:p w:rsidR="00FF2A44" w:rsidRDefault="00983164" w:rsidP="00983164">
      <w:pPr>
        <w:jc w:val="both"/>
        <w:rPr>
          <w:rFonts w:ascii="Arial" w:hAnsi="Arial" w:cs="Arial"/>
        </w:rPr>
      </w:pPr>
      <w:r>
        <w:rPr>
          <w:rFonts w:ascii="Arial" w:hAnsi="Arial" w:cs="Arial"/>
        </w:rPr>
        <w:lastRenderedPageBreak/>
        <w:t xml:space="preserve">2. </w:t>
      </w:r>
      <w:r w:rsidR="00AF5356" w:rsidRPr="000E7DD5">
        <w:rPr>
          <w:rFonts w:ascii="Arial" w:hAnsi="Arial" w:cs="Arial"/>
        </w:rPr>
        <w:t>Ovu presudu pravovremeno</w:t>
      </w:r>
      <w:r w:rsidR="00FF2A44" w:rsidRPr="000E7DD5">
        <w:rPr>
          <w:rFonts w:ascii="Arial" w:hAnsi="Arial" w:cs="Arial"/>
        </w:rPr>
        <w:t>m</w:t>
      </w:r>
      <w:r w:rsidR="00AF5356" w:rsidRPr="000E7DD5">
        <w:rPr>
          <w:rFonts w:ascii="Arial" w:hAnsi="Arial" w:cs="Arial"/>
        </w:rPr>
        <w:t xml:space="preserve"> žalbom pobija</w:t>
      </w:r>
      <w:r w:rsidR="00172583" w:rsidRPr="000E7DD5">
        <w:rPr>
          <w:rFonts w:ascii="Arial" w:hAnsi="Arial" w:cs="Arial"/>
        </w:rPr>
        <w:t xml:space="preserve"> </w:t>
      </w:r>
      <w:r w:rsidR="00425F44" w:rsidRPr="000E7DD5">
        <w:rPr>
          <w:rFonts w:ascii="Arial" w:hAnsi="Arial" w:cs="Arial"/>
        </w:rPr>
        <w:t>tužen</w:t>
      </w:r>
      <w:r w:rsidR="00DC5CCB">
        <w:rPr>
          <w:rFonts w:ascii="Arial" w:hAnsi="Arial" w:cs="Arial"/>
        </w:rPr>
        <w:t>a</w:t>
      </w:r>
      <w:r w:rsidR="00425F44" w:rsidRPr="000E7DD5">
        <w:rPr>
          <w:rFonts w:ascii="Arial" w:hAnsi="Arial" w:cs="Arial"/>
        </w:rPr>
        <w:t xml:space="preserve">, </w:t>
      </w:r>
      <w:r w:rsidR="00AF5356" w:rsidRPr="000E7DD5">
        <w:rPr>
          <w:rFonts w:ascii="Arial" w:hAnsi="Arial" w:cs="Arial"/>
        </w:rPr>
        <w:t xml:space="preserve">iz razloga </w:t>
      </w:r>
      <w:r w:rsidR="006357B5" w:rsidRPr="000E7DD5">
        <w:rPr>
          <w:rFonts w:ascii="Arial" w:hAnsi="Arial" w:cs="Arial"/>
        </w:rPr>
        <w:t>označenih</w:t>
      </w:r>
      <w:r w:rsidR="0007522D" w:rsidRPr="000E7DD5">
        <w:rPr>
          <w:rFonts w:ascii="Arial" w:hAnsi="Arial" w:cs="Arial"/>
        </w:rPr>
        <w:t xml:space="preserve"> </w:t>
      </w:r>
      <w:r w:rsidR="00AF5356" w:rsidRPr="000E7DD5">
        <w:rPr>
          <w:rFonts w:ascii="Arial" w:hAnsi="Arial" w:cs="Arial"/>
        </w:rPr>
        <w:t>u čl. 353. st. 1. t. 1.</w:t>
      </w:r>
      <w:r w:rsidR="0007522D" w:rsidRPr="000E7DD5">
        <w:rPr>
          <w:rFonts w:ascii="Arial" w:hAnsi="Arial" w:cs="Arial"/>
        </w:rPr>
        <w:t>, 2.</w:t>
      </w:r>
      <w:r w:rsidR="00AF5356" w:rsidRPr="000E7DD5">
        <w:rPr>
          <w:rFonts w:ascii="Arial" w:hAnsi="Arial" w:cs="Arial"/>
        </w:rPr>
        <w:t xml:space="preserve"> i 3. </w:t>
      </w:r>
      <w:r w:rsidR="005255A7" w:rsidRPr="000E7DD5">
        <w:rPr>
          <w:rFonts w:ascii="Arial" w:hAnsi="Arial" w:cs="Arial"/>
          <w:lang w:val="hr-HR"/>
        </w:rPr>
        <w:t>Zakona o parničnom postupku</w:t>
      </w:r>
      <w:r w:rsidR="00FF2A44" w:rsidRPr="000E7DD5">
        <w:rPr>
          <w:rFonts w:ascii="Arial" w:hAnsi="Arial" w:cs="Arial"/>
          <w:lang w:val="hr-HR"/>
        </w:rPr>
        <w:t xml:space="preserve"> </w:t>
      </w:r>
      <w:r w:rsidR="00FF2A44" w:rsidRPr="000E7DD5">
        <w:rPr>
          <w:rFonts w:ascii="Arial" w:hAnsi="Arial" w:cs="Arial"/>
        </w:rPr>
        <w:t xml:space="preserve">("Narodne novine" broj 53/91, 91/92, 58/93, 112/99, 88/01, 117/03, 88/05, 02/07, 84/08, 96/08, 123/08, 57/11, 148/11, 25/13, 89/14 i 70/19 – dalje: ZPP), </w:t>
      </w:r>
      <w:r w:rsidR="007C1E55">
        <w:rPr>
          <w:rFonts w:ascii="Arial" w:hAnsi="Arial" w:cs="Arial"/>
        </w:rPr>
        <w:t xml:space="preserve">kao i u odluci o parničnom trošku, </w:t>
      </w:r>
      <w:r w:rsidR="0007522D" w:rsidRPr="000E7DD5">
        <w:rPr>
          <w:rFonts w:ascii="Arial" w:hAnsi="Arial" w:cs="Arial"/>
        </w:rPr>
        <w:t>s</w:t>
      </w:r>
      <w:r w:rsidR="003A08C2" w:rsidRPr="000E7DD5">
        <w:rPr>
          <w:rFonts w:ascii="Arial" w:hAnsi="Arial" w:cs="Arial"/>
        </w:rPr>
        <w:t xml:space="preserve"> prijedlog</w:t>
      </w:r>
      <w:r w:rsidR="0007522D" w:rsidRPr="000E7DD5">
        <w:rPr>
          <w:rFonts w:ascii="Arial" w:hAnsi="Arial" w:cs="Arial"/>
        </w:rPr>
        <w:t>om</w:t>
      </w:r>
      <w:r w:rsidR="003A08C2" w:rsidRPr="000E7DD5">
        <w:rPr>
          <w:rFonts w:ascii="Arial" w:hAnsi="Arial" w:cs="Arial"/>
        </w:rPr>
        <w:t xml:space="preserve"> da se prvostupanjska </w:t>
      </w:r>
      <w:r w:rsidR="004F00F2">
        <w:rPr>
          <w:rFonts w:ascii="Arial" w:hAnsi="Arial" w:cs="Arial"/>
        </w:rPr>
        <w:t>ukine i predmet vrati prvostup</w:t>
      </w:r>
      <w:r w:rsidR="003842E2">
        <w:rPr>
          <w:rFonts w:ascii="Arial" w:hAnsi="Arial" w:cs="Arial"/>
        </w:rPr>
        <w:t>anjskom sudu na ponovno suđenje, uz naknadu tuženoj troška žalbenog postupka.</w:t>
      </w:r>
    </w:p>
    <w:p w:rsidR="003842E2" w:rsidRDefault="003842E2" w:rsidP="00983164">
      <w:pPr>
        <w:jc w:val="both"/>
        <w:rPr>
          <w:rFonts w:ascii="Arial" w:hAnsi="Arial" w:cs="Arial"/>
        </w:rPr>
      </w:pPr>
    </w:p>
    <w:p w:rsidR="00425F44" w:rsidRPr="000E7DD5" w:rsidRDefault="004F00F2" w:rsidP="004F00F2">
      <w:pPr>
        <w:jc w:val="both"/>
        <w:rPr>
          <w:rFonts w:ascii="Arial" w:hAnsi="Arial" w:cs="Arial"/>
        </w:rPr>
      </w:pPr>
      <w:r>
        <w:rPr>
          <w:rFonts w:ascii="Arial" w:hAnsi="Arial" w:cs="Arial"/>
        </w:rPr>
        <w:t xml:space="preserve">3. </w:t>
      </w:r>
      <w:r w:rsidR="00425F44" w:rsidRPr="000E7DD5">
        <w:rPr>
          <w:rFonts w:ascii="Arial" w:hAnsi="Arial" w:cs="Arial"/>
        </w:rPr>
        <w:t>Odgovor na žalbu nije podnesen.</w:t>
      </w:r>
    </w:p>
    <w:p w:rsidR="003A08C2" w:rsidRPr="000E7DD5" w:rsidRDefault="003A08C2" w:rsidP="00FF2A44">
      <w:pPr>
        <w:ind w:firstLine="705"/>
        <w:jc w:val="both"/>
        <w:rPr>
          <w:rFonts w:ascii="Arial" w:hAnsi="Arial" w:cs="Arial"/>
        </w:rPr>
      </w:pPr>
    </w:p>
    <w:p w:rsidR="003A08C2" w:rsidRPr="000E7DD5" w:rsidRDefault="004F00F2" w:rsidP="004F00F2">
      <w:pPr>
        <w:jc w:val="both"/>
        <w:rPr>
          <w:rFonts w:ascii="Arial" w:hAnsi="Arial" w:cs="Arial"/>
        </w:rPr>
      </w:pPr>
      <w:r>
        <w:rPr>
          <w:rFonts w:ascii="Arial" w:hAnsi="Arial" w:cs="Arial"/>
        </w:rPr>
        <w:t xml:space="preserve">4. </w:t>
      </w:r>
      <w:r w:rsidR="003A08C2" w:rsidRPr="000E7DD5">
        <w:rPr>
          <w:rFonts w:ascii="Arial" w:hAnsi="Arial" w:cs="Arial"/>
        </w:rPr>
        <w:t>Žalba nije osnovana.</w:t>
      </w:r>
    </w:p>
    <w:p w:rsidR="00B5300C" w:rsidRPr="000E7DD5" w:rsidRDefault="00B5300C" w:rsidP="00C8037A">
      <w:pPr>
        <w:ind w:firstLine="708"/>
        <w:jc w:val="both"/>
        <w:rPr>
          <w:rFonts w:ascii="Arial" w:hAnsi="Arial" w:cs="Arial"/>
        </w:rPr>
      </w:pPr>
    </w:p>
    <w:p w:rsidR="001E4E71" w:rsidRPr="000E7DD5" w:rsidRDefault="004F00F2" w:rsidP="004F00F2">
      <w:pPr>
        <w:jc w:val="both"/>
        <w:rPr>
          <w:rFonts w:ascii="Arial" w:hAnsi="Arial" w:cs="Arial"/>
        </w:rPr>
      </w:pPr>
      <w:r>
        <w:rPr>
          <w:rFonts w:ascii="Arial" w:hAnsi="Arial" w:cs="Arial"/>
        </w:rPr>
        <w:t xml:space="preserve">5. </w:t>
      </w:r>
      <w:r w:rsidR="001E4E71" w:rsidRPr="000E7DD5">
        <w:rPr>
          <w:rFonts w:ascii="Arial" w:hAnsi="Arial" w:cs="Arial"/>
        </w:rPr>
        <w:t>U pobijano</w:t>
      </w:r>
      <w:r w:rsidR="009B399B" w:rsidRPr="000E7DD5">
        <w:rPr>
          <w:rFonts w:ascii="Arial" w:hAnsi="Arial" w:cs="Arial"/>
        </w:rPr>
        <w:t>j presudi</w:t>
      </w:r>
      <w:r w:rsidR="001E4E71" w:rsidRPr="000E7DD5">
        <w:rPr>
          <w:rFonts w:ascii="Arial" w:hAnsi="Arial" w:cs="Arial"/>
        </w:rPr>
        <w:t xml:space="preserve"> ne postoje nejasnoće ni proturječnosti, kao ni drugi nedostaci zbog kojih se ne bi moglo ispitati, tako da nije počinjena bitna povreda odredbe parničnog postupka iz čl. 354. st. 2. t. 11. ZPP, na koju se ukazuje u žalbi, a niti koja druga iz navedenog članka na koju ovaj sud pazi po službenoj dužnosti (čl. 365. st. 2. ZPP).</w:t>
      </w:r>
    </w:p>
    <w:p w:rsidR="00BB41BC" w:rsidRPr="000E7DD5" w:rsidRDefault="00BB41BC" w:rsidP="001E4E71">
      <w:pPr>
        <w:ind w:firstLine="708"/>
        <w:jc w:val="both"/>
        <w:rPr>
          <w:rFonts w:ascii="Arial" w:hAnsi="Arial" w:cs="Arial"/>
        </w:rPr>
      </w:pPr>
    </w:p>
    <w:p w:rsidR="003842E2" w:rsidRDefault="004F00F2" w:rsidP="004F00F2">
      <w:pPr>
        <w:jc w:val="both"/>
        <w:rPr>
          <w:rFonts w:ascii="Arial" w:hAnsi="Arial" w:cs="Arial"/>
        </w:rPr>
      </w:pPr>
      <w:r>
        <w:rPr>
          <w:rFonts w:ascii="Arial" w:hAnsi="Arial" w:cs="Arial"/>
        </w:rPr>
        <w:t>6.</w:t>
      </w:r>
      <w:r w:rsidR="003842E2">
        <w:rPr>
          <w:rFonts w:ascii="Arial" w:hAnsi="Arial" w:cs="Arial"/>
        </w:rPr>
        <w:t xml:space="preserve"> U postupku pred prvostupanjskim sudom u bitnome je utvrđeno:</w:t>
      </w:r>
    </w:p>
    <w:p w:rsidR="003842E2" w:rsidRDefault="003842E2" w:rsidP="004F00F2">
      <w:pPr>
        <w:jc w:val="both"/>
        <w:rPr>
          <w:rFonts w:ascii="Arial" w:hAnsi="Arial" w:cs="Arial"/>
        </w:rPr>
      </w:pPr>
      <w:r>
        <w:rPr>
          <w:rFonts w:ascii="Arial" w:hAnsi="Arial" w:cs="Arial"/>
        </w:rPr>
        <w:t xml:space="preserve">- da je tužiteljica sa sada </w:t>
      </w:r>
      <w:proofErr w:type="spellStart"/>
      <w:r>
        <w:rPr>
          <w:rFonts w:ascii="Arial" w:hAnsi="Arial" w:cs="Arial"/>
        </w:rPr>
        <w:t>pok</w:t>
      </w:r>
      <w:proofErr w:type="spellEnd"/>
      <w:r>
        <w:rPr>
          <w:rFonts w:ascii="Arial" w:hAnsi="Arial" w:cs="Arial"/>
        </w:rPr>
        <w:t xml:space="preserve">. roditeljima bila u </w:t>
      </w:r>
      <w:proofErr w:type="spellStart"/>
      <w:r>
        <w:rPr>
          <w:rFonts w:ascii="Arial" w:hAnsi="Arial" w:cs="Arial"/>
        </w:rPr>
        <w:t>suposjedu</w:t>
      </w:r>
      <w:proofErr w:type="spellEnd"/>
      <w:r>
        <w:rPr>
          <w:rFonts w:ascii="Arial" w:hAnsi="Arial" w:cs="Arial"/>
        </w:rPr>
        <w:t xml:space="preserve"> nekretnina i to </w:t>
      </w:r>
      <w:proofErr w:type="spellStart"/>
      <w:r>
        <w:rPr>
          <w:rFonts w:ascii="Arial" w:hAnsi="Arial" w:cs="Arial"/>
        </w:rPr>
        <w:t>kčbr</w:t>
      </w:r>
      <w:proofErr w:type="spellEnd"/>
      <w:r>
        <w:rPr>
          <w:rFonts w:ascii="Arial" w:hAnsi="Arial" w:cs="Arial"/>
        </w:rPr>
        <w:t xml:space="preserve"> </w:t>
      </w:r>
      <w:proofErr w:type="spellStart"/>
      <w:r>
        <w:rPr>
          <w:rFonts w:ascii="Arial" w:hAnsi="Arial" w:cs="Arial"/>
        </w:rPr>
        <w:t>zgr</w:t>
      </w:r>
      <w:proofErr w:type="spellEnd"/>
      <w:r>
        <w:rPr>
          <w:rFonts w:ascii="Arial" w:hAnsi="Arial" w:cs="Arial"/>
        </w:rPr>
        <w:t xml:space="preserve"> </w:t>
      </w:r>
      <w:r w:rsidR="00F32893">
        <w:rPr>
          <w:rFonts w:ascii="Arial" w:hAnsi="Arial" w:cs="Arial"/>
        </w:rPr>
        <w:t>...</w:t>
      </w:r>
      <w:r w:rsidR="00151269">
        <w:rPr>
          <w:rFonts w:ascii="Arial" w:hAnsi="Arial" w:cs="Arial"/>
        </w:rPr>
        <w:t xml:space="preserve"> k.o. </w:t>
      </w:r>
      <w:r w:rsidR="00F32893">
        <w:rPr>
          <w:rFonts w:ascii="Arial" w:hAnsi="Arial" w:cs="Arial"/>
        </w:rPr>
        <w:t>...</w:t>
      </w:r>
      <w:r w:rsidR="00151269">
        <w:rPr>
          <w:rFonts w:ascii="Arial" w:hAnsi="Arial" w:cs="Arial"/>
        </w:rPr>
        <w:t>, od 1993. godine,</w:t>
      </w:r>
    </w:p>
    <w:p w:rsidR="00151269" w:rsidRDefault="00151269" w:rsidP="004F00F2">
      <w:pPr>
        <w:jc w:val="both"/>
        <w:rPr>
          <w:rFonts w:ascii="Arial" w:hAnsi="Arial" w:cs="Arial"/>
        </w:rPr>
      </w:pPr>
      <w:r>
        <w:rPr>
          <w:rFonts w:ascii="Arial" w:hAnsi="Arial" w:cs="Arial"/>
        </w:rPr>
        <w:t xml:space="preserve">- da je uknjiženo pravo vlasništva tužiteljice na 4/9 dijela </w:t>
      </w:r>
      <w:proofErr w:type="spellStart"/>
      <w:r>
        <w:rPr>
          <w:rFonts w:ascii="Arial" w:hAnsi="Arial" w:cs="Arial"/>
        </w:rPr>
        <w:t>kčbr</w:t>
      </w:r>
      <w:proofErr w:type="spellEnd"/>
      <w:r>
        <w:rPr>
          <w:rFonts w:ascii="Arial" w:hAnsi="Arial" w:cs="Arial"/>
        </w:rPr>
        <w:t xml:space="preserve"> </w:t>
      </w:r>
      <w:proofErr w:type="spellStart"/>
      <w:r>
        <w:rPr>
          <w:rFonts w:ascii="Arial" w:hAnsi="Arial" w:cs="Arial"/>
        </w:rPr>
        <w:t>zgr</w:t>
      </w:r>
      <w:proofErr w:type="spellEnd"/>
      <w:r>
        <w:rPr>
          <w:rFonts w:ascii="Arial" w:hAnsi="Arial" w:cs="Arial"/>
        </w:rPr>
        <w:t xml:space="preserve">. </w:t>
      </w:r>
      <w:r w:rsidR="00F32893">
        <w:rPr>
          <w:rFonts w:ascii="Arial" w:hAnsi="Arial" w:cs="Arial"/>
        </w:rPr>
        <w:t>...</w:t>
      </w:r>
      <w:r>
        <w:rPr>
          <w:rFonts w:ascii="Arial" w:hAnsi="Arial" w:cs="Arial"/>
        </w:rPr>
        <w:t xml:space="preserve"> k.o. </w:t>
      </w:r>
      <w:r w:rsidR="00F32893">
        <w:rPr>
          <w:rFonts w:ascii="Arial" w:hAnsi="Arial" w:cs="Arial"/>
        </w:rPr>
        <w:t>...</w:t>
      </w:r>
      <w:r>
        <w:rPr>
          <w:rFonts w:ascii="Arial" w:hAnsi="Arial" w:cs="Arial"/>
        </w:rPr>
        <w:t xml:space="preserve">, </w:t>
      </w:r>
      <w:proofErr w:type="spellStart"/>
      <w:r>
        <w:rPr>
          <w:rFonts w:ascii="Arial" w:hAnsi="Arial" w:cs="Arial"/>
        </w:rPr>
        <w:t>zkul</w:t>
      </w:r>
      <w:proofErr w:type="spellEnd"/>
      <w:r>
        <w:rPr>
          <w:rFonts w:ascii="Arial" w:hAnsi="Arial" w:cs="Arial"/>
        </w:rPr>
        <w:t xml:space="preserve"> </w:t>
      </w:r>
      <w:r w:rsidR="00F32893">
        <w:rPr>
          <w:rFonts w:ascii="Arial" w:hAnsi="Arial" w:cs="Arial"/>
        </w:rPr>
        <w:t>...</w:t>
      </w:r>
      <w:r>
        <w:rPr>
          <w:rFonts w:ascii="Arial" w:hAnsi="Arial" w:cs="Arial"/>
        </w:rPr>
        <w:t>, temeljem rješenja o nasljeđivanju od 25. travnja 2006., iza smrti oca stranaka,</w:t>
      </w:r>
    </w:p>
    <w:p w:rsidR="00151269" w:rsidRDefault="00151269" w:rsidP="004F00F2">
      <w:pPr>
        <w:jc w:val="both"/>
        <w:rPr>
          <w:rFonts w:ascii="Arial" w:hAnsi="Arial" w:cs="Arial"/>
        </w:rPr>
      </w:pPr>
      <w:r>
        <w:rPr>
          <w:rFonts w:ascii="Arial" w:hAnsi="Arial" w:cs="Arial"/>
        </w:rPr>
        <w:t xml:space="preserve">- da je tužiteljica upisana u zemljišnoj knjizi kao suvlasnica u 4/9 dijela predmetnih nekretnina, kojih je u </w:t>
      </w:r>
      <w:r w:rsidR="00AF1BFD">
        <w:rPr>
          <w:rFonts w:ascii="Arial" w:hAnsi="Arial" w:cs="Arial"/>
        </w:rPr>
        <w:t>samostalnom</w:t>
      </w:r>
      <w:r>
        <w:rPr>
          <w:rFonts w:ascii="Arial" w:hAnsi="Arial" w:cs="Arial"/>
        </w:rPr>
        <w:t xml:space="preserve"> posjedu od 2006. pa na ovamo.</w:t>
      </w:r>
    </w:p>
    <w:p w:rsidR="00151269" w:rsidRDefault="00151269" w:rsidP="004F00F2">
      <w:pPr>
        <w:jc w:val="both"/>
        <w:rPr>
          <w:rFonts w:ascii="Arial" w:hAnsi="Arial" w:cs="Arial"/>
        </w:rPr>
      </w:pPr>
    </w:p>
    <w:p w:rsidR="00DF6866" w:rsidRDefault="00151269" w:rsidP="00DF6866">
      <w:pPr>
        <w:jc w:val="both"/>
        <w:rPr>
          <w:rFonts w:ascii="Arial" w:hAnsi="Arial" w:cs="Arial"/>
        </w:rPr>
      </w:pPr>
      <w:r>
        <w:rPr>
          <w:rFonts w:ascii="Arial" w:hAnsi="Arial" w:cs="Arial"/>
        </w:rPr>
        <w:t xml:space="preserve">7. Slijedom </w:t>
      </w:r>
      <w:r w:rsidR="00DF6866">
        <w:rPr>
          <w:rFonts w:ascii="Arial" w:hAnsi="Arial" w:cs="Arial"/>
        </w:rPr>
        <w:t xml:space="preserve">utvrđenog, a temeljem odredbe čl. 159. st. 1. </w:t>
      </w:r>
      <w:r w:rsidR="00DF6866" w:rsidRPr="00450340">
        <w:rPr>
          <w:rFonts w:ascii="Arial" w:hAnsi="Arial" w:cs="Arial"/>
        </w:rPr>
        <w:t xml:space="preserve">Zakona o vlasništvu i drugim stvarnim pravima </w:t>
      </w:r>
      <w:r w:rsidR="00DF6866" w:rsidRPr="00450340">
        <w:rPr>
          <w:rFonts w:ascii="Arial" w:hAnsi="Arial" w:cs="Arial"/>
          <w:bCs/>
        </w:rPr>
        <w:t>("Narodne novine" broj 91/</w:t>
      </w:r>
      <w:r w:rsidR="00DF6866" w:rsidRPr="00450340">
        <w:rPr>
          <w:rFonts w:ascii="Arial" w:hAnsi="Arial" w:cs="Arial"/>
        </w:rPr>
        <w:t>96, 68/98, 137/99, 22/00, 73/00, 129/00, 114/01, 79/06, 141/06, 146/08, 38/09, 153/09, 143/12, 152/14, 81/15 i 94/17 – dalje: ZV)</w:t>
      </w:r>
      <w:r w:rsidR="00DF6866">
        <w:rPr>
          <w:rFonts w:ascii="Arial" w:hAnsi="Arial" w:cs="Arial"/>
        </w:rPr>
        <w:t xml:space="preserve">, prvostupanjski sud utvrđuje da je tužiteljica dosjelošću stekla vlasništvo predmetnih nekretnina budući joj je posjed zakonit, istinit i pošten, a traje više od 10 godina, čime su se ispunile pretpostavke za usvajanje tužbenog zahtjeva, koji po mišljenju ovog suda nije </w:t>
      </w:r>
      <w:r w:rsidR="00AF1BFD">
        <w:rPr>
          <w:rFonts w:ascii="Arial" w:hAnsi="Arial" w:cs="Arial"/>
        </w:rPr>
        <w:t>prekoračen</w:t>
      </w:r>
      <w:r w:rsidR="00DF6866">
        <w:rPr>
          <w:rFonts w:ascii="Arial" w:hAnsi="Arial" w:cs="Arial"/>
        </w:rPr>
        <w:t xml:space="preserve"> u smislu počinjenja bitne povrede odredaba parničnog postupka</w:t>
      </w:r>
      <w:r w:rsidR="0054050F">
        <w:rPr>
          <w:rFonts w:ascii="Arial" w:hAnsi="Arial" w:cs="Arial"/>
        </w:rPr>
        <w:t xml:space="preserve"> iz čl. 354. st. 2. t. 12. ZPP, koju tužena nalazi u tome da je tužbom zahtijevano utvrđenje tužiteljice vlasnicom u 3/9 dijela nekretnine upisane u </w:t>
      </w:r>
      <w:proofErr w:type="spellStart"/>
      <w:r w:rsidR="0054050F">
        <w:rPr>
          <w:rFonts w:ascii="Arial" w:hAnsi="Arial" w:cs="Arial"/>
        </w:rPr>
        <w:t>zkul</w:t>
      </w:r>
      <w:proofErr w:type="spellEnd"/>
      <w:r w:rsidR="0054050F">
        <w:rPr>
          <w:rFonts w:ascii="Arial" w:hAnsi="Arial" w:cs="Arial"/>
        </w:rPr>
        <w:t xml:space="preserve"> </w:t>
      </w:r>
      <w:r w:rsidR="0023078F">
        <w:rPr>
          <w:rFonts w:ascii="Arial" w:hAnsi="Arial" w:cs="Arial"/>
        </w:rPr>
        <w:t>...</w:t>
      </w:r>
      <w:r w:rsidR="0054050F">
        <w:rPr>
          <w:rFonts w:ascii="Arial" w:hAnsi="Arial" w:cs="Arial"/>
        </w:rPr>
        <w:t xml:space="preserve"> k.o. </w:t>
      </w:r>
      <w:r w:rsidR="0023078F">
        <w:rPr>
          <w:rFonts w:ascii="Arial" w:hAnsi="Arial" w:cs="Arial"/>
        </w:rPr>
        <w:t>...</w:t>
      </w:r>
      <w:r w:rsidR="0054050F">
        <w:rPr>
          <w:rFonts w:ascii="Arial" w:hAnsi="Arial" w:cs="Arial"/>
        </w:rPr>
        <w:t xml:space="preserve">r, </w:t>
      </w:r>
      <w:proofErr w:type="spellStart"/>
      <w:r w:rsidR="0054050F">
        <w:rPr>
          <w:rFonts w:ascii="Arial" w:hAnsi="Arial" w:cs="Arial"/>
        </w:rPr>
        <w:t>kčbr</w:t>
      </w:r>
      <w:proofErr w:type="spellEnd"/>
      <w:r w:rsidR="0054050F">
        <w:rPr>
          <w:rFonts w:ascii="Arial" w:hAnsi="Arial" w:cs="Arial"/>
        </w:rPr>
        <w:t xml:space="preserve"> </w:t>
      </w:r>
      <w:r w:rsidR="0023078F">
        <w:rPr>
          <w:rFonts w:ascii="Arial" w:hAnsi="Arial" w:cs="Arial"/>
        </w:rPr>
        <w:t>...</w:t>
      </w:r>
      <w:r w:rsidR="0054050F">
        <w:rPr>
          <w:rFonts w:ascii="Arial" w:hAnsi="Arial" w:cs="Arial"/>
        </w:rPr>
        <w:t xml:space="preserve">, a pobijanom presudom dosuđene nekretnine </w:t>
      </w:r>
      <w:proofErr w:type="spellStart"/>
      <w:r w:rsidR="0054050F">
        <w:rPr>
          <w:rFonts w:ascii="Arial" w:hAnsi="Arial" w:cs="Arial"/>
        </w:rPr>
        <w:t>kčbr</w:t>
      </w:r>
      <w:proofErr w:type="spellEnd"/>
      <w:r w:rsidR="0054050F">
        <w:rPr>
          <w:rFonts w:ascii="Arial" w:hAnsi="Arial" w:cs="Arial"/>
        </w:rPr>
        <w:t xml:space="preserve"> </w:t>
      </w:r>
      <w:proofErr w:type="spellStart"/>
      <w:r w:rsidR="0054050F">
        <w:rPr>
          <w:rFonts w:ascii="Arial" w:hAnsi="Arial" w:cs="Arial"/>
        </w:rPr>
        <w:t>zgr</w:t>
      </w:r>
      <w:proofErr w:type="spellEnd"/>
      <w:r w:rsidR="0054050F">
        <w:rPr>
          <w:rFonts w:ascii="Arial" w:hAnsi="Arial" w:cs="Arial"/>
        </w:rPr>
        <w:t xml:space="preserve">. </w:t>
      </w:r>
      <w:r w:rsidR="0023078F">
        <w:rPr>
          <w:rFonts w:ascii="Arial" w:hAnsi="Arial" w:cs="Arial"/>
        </w:rPr>
        <w:t>...</w:t>
      </w:r>
      <w:r w:rsidR="0054050F">
        <w:rPr>
          <w:rFonts w:ascii="Arial" w:hAnsi="Arial" w:cs="Arial"/>
        </w:rPr>
        <w:t xml:space="preserve"> k.o. </w:t>
      </w:r>
      <w:r w:rsidR="0023078F">
        <w:rPr>
          <w:rFonts w:ascii="Arial" w:hAnsi="Arial" w:cs="Arial"/>
        </w:rPr>
        <w:t>..</w:t>
      </w:r>
      <w:r w:rsidR="0054050F">
        <w:rPr>
          <w:rFonts w:ascii="Arial" w:hAnsi="Arial" w:cs="Arial"/>
        </w:rPr>
        <w:t>.</w:t>
      </w:r>
    </w:p>
    <w:p w:rsidR="0054050F" w:rsidRDefault="0054050F" w:rsidP="00DF6866">
      <w:pPr>
        <w:jc w:val="both"/>
        <w:rPr>
          <w:rFonts w:ascii="Arial" w:hAnsi="Arial" w:cs="Arial"/>
        </w:rPr>
      </w:pPr>
    </w:p>
    <w:p w:rsidR="0054050F" w:rsidRDefault="0054050F" w:rsidP="00DF6866">
      <w:pPr>
        <w:jc w:val="both"/>
        <w:rPr>
          <w:rFonts w:ascii="Arial" w:hAnsi="Arial" w:cs="Arial"/>
        </w:rPr>
      </w:pPr>
      <w:r>
        <w:rPr>
          <w:rFonts w:ascii="Arial" w:hAnsi="Arial" w:cs="Arial"/>
        </w:rPr>
        <w:t xml:space="preserve">8. Iz </w:t>
      </w:r>
      <w:r w:rsidR="00AF1BFD">
        <w:rPr>
          <w:rFonts w:ascii="Arial" w:hAnsi="Arial" w:cs="Arial"/>
        </w:rPr>
        <w:t>zemljišnoknjižnog</w:t>
      </w:r>
      <w:r>
        <w:rPr>
          <w:rFonts w:ascii="Arial" w:hAnsi="Arial" w:cs="Arial"/>
        </w:rPr>
        <w:t xml:space="preserve"> izvatka za predmetnu nekretninu, isprava iz Zbirke isprava zemljišnoknjižnog odjela Općinskog suda u Pazinu, Stalna služba u Poreču, nalaza mjerničkog vještaka</w:t>
      </w:r>
      <w:r w:rsidR="0028092C">
        <w:rPr>
          <w:rFonts w:ascii="Arial" w:hAnsi="Arial" w:cs="Arial"/>
        </w:rPr>
        <w:t xml:space="preserve"> i izvedenog dokaza očevidom suda, proizlazi da predmetna </w:t>
      </w:r>
      <w:r w:rsidR="0028092C" w:rsidRPr="00AB3116">
        <w:rPr>
          <w:rFonts w:ascii="Arial" w:hAnsi="Arial" w:cs="Arial"/>
        </w:rPr>
        <w:t>nekretnina</w:t>
      </w:r>
      <w:r w:rsidR="0028092C">
        <w:rPr>
          <w:rFonts w:ascii="Arial" w:hAnsi="Arial" w:cs="Arial"/>
        </w:rPr>
        <w:t xml:space="preserve"> u naravi predstavlja obiteljsku kuću i dvorište, odnosno da se radi o zgradi (</w:t>
      </w:r>
      <w:proofErr w:type="spellStart"/>
      <w:r w:rsidR="0028092C">
        <w:rPr>
          <w:rFonts w:ascii="Arial" w:hAnsi="Arial" w:cs="Arial"/>
        </w:rPr>
        <w:t>zgr</w:t>
      </w:r>
      <w:proofErr w:type="spellEnd"/>
      <w:r w:rsidR="0028092C">
        <w:rPr>
          <w:rFonts w:ascii="Arial" w:hAnsi="Arial" w:cs="Arial"/>
        </w:rPr>
        <w:t xml:space="preserve">.), sukladno kojem utvrđenju, prvostupanjski sud je donio pobijanu presudu, a da pri tom nije sudio </w:t>
      </w:r>
      <w:proofErr w:type="spellStart"/>
      <w:r w:rsidR="003761A5">
        <w:rPr>
          <w:rFonts w:ascii="Arial" w:hAnsi="Arial" w:cs="Arial"/>
        </w:rPr>
        <w:t>extra</w:t>
      </w:r>
      <w:proofErr w:type="spellEnd"/>
      <w:r w:rsidR="003761A5">
        <w:rPr>
          <w:rFonts w:ascii="Arial" w:hAnsi="Arial" w:cs="Arial"/>
        </w:rPr>
        <w:t xml:space="preserve"> petita ili </w:t>
      </w:r>
      <w:proofErr w:type="spellStart"/>
      <w:r w:rsidR="003761A5">
        <w:rPr>
          <w:rFonts w:ascii="Arial" w:hAnsi="Arial" w:cs="Arial"/>
        </w:rPr>
        <w:t>ultra</w:t>
      </w:r>
      <w:proofErr w:type="spellEnd"/>
      <w:r w:rsidR="003761A5">
        <w:rPr>
          <w:rFonts w:ascii="Arial" w:hAnsi="Arial" w:cs="Arial"/>
        </w:rPr>
        <w:t xml:space="preserve"> petita, kako to navodi tužena u žalbi.</w:t>
      </w:r>
    </w:p>
    <w:p w:rsidR="003761A5" w:rsidRDefault="003761A5" w:rsidP="00DF6866">
      <w:pPr>
        <w:jc w:val="both"/>
        <w:rPr>
          <w:rFonts w:ascii="Arial" w:hAnsi="Arial" w:cs="Arial"/>
        </w:rPr>
      </w:pPr>
    </w:p>
    <w:p w:rsidR="003761A5" w:rsidRDefault="003761A5" w:rsidP="00DF6866">
      <w:pPr>
        <w:jc w:val="both"/>
        <w:rPr>
          <w:rFonts w:ascii="Arial" w:hAnsi="Arial" w:cs="Arial"/>
        </w:rPr>
      </w:pPr>
      <w:r>
        <w:rPr>
          <w:rFonts w:ascii="Arial" w:hAnsi="Arial" w:cs="Arial"/>
        </w:rPr>
        <w:t>9. Nije prvostupanjski sud u svojoj presudi počinio niti relativno bitnu povredu odredaba parničnog postupka iz čl. 354. st. 1. u vezi čl. 40. ZPP, kada nije odlučio o prigovoru tužene, vrijednost predmeta spo</w:t>
      </w:r>
      <w:r w:rsidR="00AB3116">
        <w:rPr>
          <w:rFonts w:ascii="Arial" w:hAnsi="Arial" w:cs="Arial"/>
        </w:rPr>
        <w:t>r</w:t>
      </w:r>
      <w:r>
        <w:rPr>
          <w:rFonts w:ascii="Arial" w:hAnsi="Arial" w:cs="Arial"/>
        </w:rPr>
        <w:t>a označene u tužbi sa 10.000,00 kn, utvrđujući da je naznačena u preniskom iznosu.</w:t>
      </w:r>
    </w:p>
    <w:p w:rsidR="003761A5" w:rsidRDefault="003761A5" w:rsidP="00DF6866">
      <w:pPr>
        <w:jc w:val="both"/>
        <w:rPr>
          <w:rFonts w:ascii="Arial" w:hAnsi="Arial" w:cs="Arial"/>
        </w:rPr>
      </w:pPr>
    </w:p>
    <w:p w:rsidR="003761A5" w:rsidRPr="000D6007" w:rsidRDefault="003761A5" w:rsidP="00DF6866">
      <w:pPr>
        <w:jc w:val="both"/>
        <w:rPr>
          <w:rFonts w:ascii="Arial" w:hAnsi="Arial" w:cs="Arial"/>
        </w:rPr>
      </w:pPr>
      <w:r w:rsidRPr="000D6007">
        <w:rPr>
          <w:rFonts w:ascii="Arial" w:hAnsi="Arial" w:cs="Arial"/>
        </w:rPr>
        <w:lastRenderedPageBreak/>
        <w:t>10. U ovome predmetu riječ je o vlasničkom sporu, u kojem je postavljen</w:t>
      </w:r>
      <w:r w:rsidR="00B46A52" w:rsidRPr="000D6007">
        <w:rPr>
          <w:rFonts w:ascii="Arial" w:hAnsi="Arial" w:cs="Arial"/>
        </w:rPr>
        <w:t xml:space="preserve"> nenovčani tužbeni zahtjev. O prigovoru tužene nije odlučeno na pripremnom ročištu na kojem je zaključen prethodni postupak, niti na ročištu za glavnu raspravu, niti je tužena tražila da sud donese odluku o njenom prigovoru.</w:t>
      </w:r>
    </w:p>
    <w:p w:rsidR="00B46A52" w:rsidRPr="000D6007" w:rsidRDefault="00B46A52" w:rsidP="00DF6866">
      <w:pPr>
        <w:jc w:val="both"/>
        <w:rPr>
          <w:rFonts w:ascii="Arial" w:hAnsi="Arial" w:cs="Arial"/>
        </w:rPr>
      </w:pPr>
    </w:p>
    <w:p w:rsidR="00B46A52" w:rsidRPr="000D6007" w:rsidRDefault="00B46A52" w:rsidP="00DF6866">
      <w:pPr>
        <w:jc w:val="both"/>
        <w:rPr>
          <w:rFonts w:ascii="Arial" w:hAnsi="Arial" w:cs="Arial"/>
        </w:rPr>
      </w:pPr>
      <w:r w:rsidRPr="000D6007">
        <w:rPr>
          <w:rFonts w:ascii="Arial" w:hAnsi="Arial" w:cs="Arial"/>
        </w:rPr>
        <w:t>11. Odredbom čl. 40. st. 2. ZPP propisano je da u slučajevima kada se tužbeni zahtjev ne odnosi na novčanu svotu, mjerodavna je vrijednost predmeta spora, koju je tužitelj naznačio u tužbi.</w:t>
      </w:r>
    </w:p>
    <w:p w:rsidR="00B46A52" w:rsidRPr="000D6007" w:rsidRDefault="00B46A52" w:rsidP="00DF6866">
      <w:pPr>
        <w:jc w:val="both"/>
        <w:rPr>
          <w:rFonts w:ascii="Arial" w:hAnsi="Arial" w:cs="Arial"/>
        </w:rPr>
      </w:pPr>
    </w:p>
    <w:p w:rsidR="009B3E58" w:rsidRPr="000D6007" w:rsidRDefault="00B46A52" w:rsidP="009B3E58">
      <w:pPr>
        <w:jc w:val="both"/>
        <w:rPr>
          <w:rFonts w:ascii="Arial" w:hAnsi="Arial" w:cs="Arial"/>
        </w:rPr>
      </w:pPr>
      <w:r w:rsidRPr="000D6007">
        <w:rPr>
          <w:rFonts w:ascii="Arial" w:hAnsi="Arial" w:cs="Arial"/>
        </w:rPr>
        <w:t xml:space="preserve">12. </w:t>
      </w:r>
      <w:r w:rsidR="009B3E58" w:rsidRPr="000D6007">
        <w:rPr>
          <w:rFonts w:ascii="Arial" w:hAnsi="Arial" w:cs="Arial"/>
        </w:rPr>
        <w:t>Odredbom st. 3. čl. 40. ZPP propisano je da ako je u slučaju iz st</w:t>
      </w:r>
      <w:r w:rsidR="00A96217" w:rsidRPr="000D6007">
        <w:rPr>
          <w:rFonts w:ascii="Arial" w:hAnsi="Arial" w:cs="Arial"/>
        </w:rPr>
        <w:t>.</w:t>
      </w:r>
      <w:r w:rsidR="009B3E58" w:rsidRPr="000D6007">
        <w:rPr>
          <w:rFonts w:ascii="Arial" w:hAnsi="Arial" w:cs="Arial"/>
        </w:rPr>
        <w:t xml:space="preserve"> 2. ovoga članka tužitelj vrijednost predmeta spora očito suviše visoko ili suviše nisko naznačio, tako da se postavlja pitanje stvarne nadležnosti, sastava suda, vrste postupka, prava na izjavljivanje revizije, ovlaštenja na zastupanje ili prava na naknadu troškova postupka, da će sud po službenoj dužnosti ili na prigovor tuženika, najkasnije na pripremnom ročištu, ili ako ono nije održano onda na ročištu za glavnu raspravu prije nego što se tuženik upustio u raspravljanje o glavnoj stvari, brzo i na prikladan način provjeriti točnost naznačene vrijednosti te rješenjem protiv kojega nije dopuštena posebna žalba odrediti vrijednost predmeta spora.</w:t>
      </w:r>
    </w:p>
    <w:p w:rsidR="00A96217" w:rsidRPr="000D6007" w:rsidRDefault="00A96217" w:rsidP="009B3E58">
      <w:pPr>
        <w:jc w:val="both"/>
        <w:rPr>
          <w:rFonts w:ascii="Arial" w:hAnsi="Arial" w:cs="Arial"/>
        </w:rPr>
      </w:pPr>
    </w:p>
    <w:p w:rsidR="009B3E58" w:rsidRPr="000D6007" w:rsidRDefault="00A96217" w:rsidP="009B3E58">
      <w:pPr>
        <w:jc w:val="both"/>
        <w:rPr>
          <w:rFonts w:ascii="Arial" w:hAnsi="Arial" w:cs="Arial"/>
        </w:rPr>
      </w:pPr>
      <w:r w:rsidRPr="000D6007">
        <w:rPr>
          <w:rFonts w:ascii="Arial" w:hAnsi="Arial" w:cs="Arial"/>
        </w:rPr>
        <w:t xml:space="preserve">13. </w:t>
      </w:r>
      <w:r w:rsidR="009B3E58" w:rsidRPr="000D6007">
        <w:rPr>
          <w:rFonts w:ascii="Arial" w:hAnsi="Arial" w:cs="Arial"/>
        </w:rPr>
        <w:t>Polazeći od naprijed navedene odredbe te od naprijed navedenih nespornih činjenica, prema shvaćanju ovog drugostupanjskog suda (tako i V</w:t>
      </w:r>
      <w:r w:rsidRPr="000D6007">
        <w:rPr>
          <w:rFonts w:ascii="Arial" w:hAnsi="Arial" w:cs="Arial"/>
        </w:rPr>
        <w:t>rhovni sud Republike Hrvat</w:t>
      </w:r>
      <w:r w:rsidR="00AB3116">
        <w:rPr>
          <w:rFonts w:ascii="Arial" w:hAnsi="Arial" w:cs="Arial"/>
        </w:rPr>
        <w:t>s</w:t>
      </w:r>
      <w:r w:rsidRPr="000D6007">
        <w:rPr>
          <w:rFonts w:ascii="Arial" w:hAnsi="Arial" w:cs="Arial"/>
        </w:rPr>
        <w:t>ke</w:t>
      </w:r>
      <w:r w:rsidR="009B3E58" w:rsidRPr="000D6007">
        <w:rPr>
          <w:rFonts w:ascii="Arial" w:hAnsi="Arial" w:cs="Arial"/>
        </w:rPr>
        <w:t xml:space="preserve"> u </w:t>
      </w:r>
      <w:proofErr w:type="spellStart"/>
      <w:r w:rsidR="009B3E58" w:rsidRPr="000D6007">
        <w:rPr>
          <w:rFonts w:ascii="Arial" w:hAnsi="Arial" w:cs="Arial"/>
        </w:rPr>
        <w:t>Rev</w:t>
      </w:r>
      <w:proofErr w:type="spellEnd"/>
      <w:r w:rsidR="009B3E58" w:rsidRPr="000D6007">
        <w:rPr>
          <w:rFonts w:ascii="Arial" w:hAnsi="Arial" w:cs="Arial"/>
        </w:rPr>
        <w:t>-1627/13), nakon okončanog pripremnog ročišta, odnosno nakon prvog ročišta za glavnu raspravu nakon što se tužen</w:t>
      </w:r>
      <w:r w:rsidRPr="000D6007">
        <w:rPr>
          <w:rFonts w:ascii="Arial" w:hAnsi="Arial" w:cs="Arial"/>
        </w:rPr>
        <w:t>a</w:t>
      </w:r>
      <w:r w:rsidR="009B3E58" w:rsidRPr="000D6007">
        <w:rPr>
          <w:rFonts w:ascii="Arial" w:hAnsi="Arial" w:cs="Arial"/>
        </w:rPr>
        <w:t xml:space="preserve"> upusti</w:t>
      </w:r>
      <w:r w:rsidRPr="000D6007">
        <w:rPr>
          <w:rFonts w:ascii="Arial" w:hAnsi="Arial" w:cs="Arial"/>
        </w:rPr>
        <w:t>la</w:t>
      </w:r>
      <w:r w:rsidR="009B3E58" w:rsidRPr="000D6007">
        <w:rPr>
          <w:rFonts w:ascii="Arial" w:hAnsi="Arial" w:cs="Arial"/>
        </w:rPr>
        <w:t xml:space="preserve"> u raspravljanje, sud više nije ovlašten, niti po službenoj dužnosti niti po prigovoru tužen</w:t>
      </w:r>
      <w:r w:rsidR="00EE6620" w:rsidRPr="000D6007">
        <w:rPr>
          <w:rFonts w:ascii="Arial" w:hAnsi="Arial" w:cs="Arial"/>
        </w:rPr>
        <w:t>e</w:t>
      </w:r>
      <w:r w:rsidR="009B3E58" w:rsidRPr="000D6007">
        <w:rPr>
          <w:rFonts w:ascii="Arial" w:hAnsi="Arial" w:cs="Arial"/>
        </w:rPr>
        <w:t>, provjeravati točnost naznačene vrijednosti predmeta spora. Stoga, u situaciji u kojoj je tužen</w:t>
      </w:r>
      <w:r w:rsidR="00EE6620" w:rsidRPr="000D6007">
        <w:rPr>
          <w:rFonts w:ascii="Arial" w:hAnsi="Arial" w:cs="Arial"/>
        </w:rPr>
        <w:t>a</w:t>
      </w:r>
      <w:r w:rsidR="009B3E58" w:rsidRPr="000D6007">
        <w:rPr>
          <w:rFonts w:ascii="Arial" w:hAnsi="Arial" w:cs="Arial"/>
        </w:rPr>
        <w:t xml:space="preserve"> prigovori</w:t>
      </w:r>
      <w:r w:rsidR="00EE6620" w:rsidRPr="000D6007">
        <w:rPr>
          <w:rFonts w:ascii="Arial" w:hAnsi="Arial" w:cs="Arial"/>
        </w:rPr>
        <w:t>la</w:t>
      </w:r>
      <w:r w:rsidR="009B3E58" w:rsidRPr="000D6007">
        <w:rPr>
          <w:rFonts w:ascii="Arial" w:hAnsi="Arial" w:cs="Arial"/>
        </w:rPr>
        <w:t xml:space="preserve"> (bilo da je previsoko naznačena bilo da je prenisko naznačena) po tužitelju naznačenoj vrijednosti predmeta spora, a sud je o tom prigovoru propustio donijeti odluku do okončanja pripremnog ročišta odnosno do upuštanja tužen</w:t>
      </w:r>
      <w:r w:rsidR="00EE6620" w:rsidRPr="000D6007">
        <w:rPr>
          <w:rFonts w:ascii="Arial" w:hAnsi="Arial" w:cs="Arial"/>
        </w:rPr>
        <w:t>e</w:t>
      </w:r>
      <w:r w:rsidR="009B3E58" w:rsidRPr="000D6007">
        <w:rPr>
          <w:rFonts w:ascii="Arial" w:hAnsi="Arial" w:cs="Arial"/>
        </w:rPr>
        <w:t xml:space="preserve"> u raspravljanje na prvom ročištu za glavnu raspravu, ima se uzeti da vrijednost predmeta spora predstavlja onaj iznos koji je naznačen u tužbi. </w:t>
      </w:r>
    </w:p>
    <w:p w:rsidR="00EE6620" w:rsidRPr="000D6007" w:rsidRDefault="00EE6620" w:rsidP="009B3E58">
      <w:pPr>
        <w:jc w:val="both"/>
        <w:rPr>
          <w:rFonts w:ascii="Arial" w:hAnsi="Arial" w:cs="Arial"/>
        </w:rPr>
      </w:pPr>
    </w:p>
    <w:p w:rsidR="009B3E58" w:rsidRPr="000D6007" w:rsidRDefault="00EE6620" w:rsidP="00EE6620">
      <w:pPr>
        <w:jc w:val="both"/>
        <w:rPr>
          <w:rFonts w:ascii="Arial" w:hAnsi="Arial" w:cs="Arial"/>
        </w:rPr>
      </w:pPr>
      <w:r w:rsidRPr="000D6007">
        <w:rPr>
          <w:rFonts w:ascii="Arial" w:hAnsi="Arial" w:cs="Arial"/>
        </w:rPr>
        <w:t>14. U</w:t>
      </w:r>
      <w:r w:rsidR="009B3E58" w:rsidRPr="000D6007">
        <w:rPr>
          <w:rFonts w:ascii="Arial" w:hAnsi="Arial" w:cs="Arial"/>
        </w:rPr>
        <w:t xml:space="preserve"> konkretnom slučaju, kada su tužen</w:t>
      </w:r>
      <w:r w:rsidRPr="000D6007">
        <w:rPr>
          <w:rFonts w:ascii="Arial" w:hAnsi="Arial" w:cs="Arial"/>
        </w:rPr>
        <w:t>a</w:t>
      </w:r>
      <w:r w:rsidR="009B3E58" w:rsidRPr="000D6007">
        <w:rPr>
          <w:rFonts w:ascii="Arial" w:hAnsi="Arial" w:cs="Arial"/>
        </w:rPr>
        <w:t xml:space="preserve"> već u pismenom odgovoru na tužbu prigovoril</w:t>
      </w:r>
      <w:r w:rsidRPr="000D6007">
        <w:rPr>
          <w:rFonts w:ascii="Arial" w:hAnsi="Arial" w:cs="Arial"/>
        </w:rPr>
        <w:t>a</w:t>
      </w:r>
      <w:r w:rsidR="009B3E58" w:rsidRPr="000D6007">
        <w:rPr>
          <w:rFonts w:ascii="Arial" w:hAnsi="Arial" w:cs="Arial"/>
        </w:rPr>
        <w:t xml:space="preserve"> vrijednosti predmeta spora koju je u tužbi naznačila tužiteljica, tada </w:t>
      </w:r>
      <w:r w:rsidRPr="000D6007">
        <w:rPr>
          <w:rFonts w:ascii="Arial" w:hAnsi="Arial" w:cs="Arial"/>
        </w:rPr>
        <w:t xml:space="preserve">je </w:t>
      </w:r>
      <w:r w:rsidR="009B3E58" w:rsidRPr="000D6007">
        <w:rPr>
          <w:rFonts w:ascii="Arial" w:hAnsi="Arial" w:cs="Arial"/>
        </w:rPr>
        <w:t>on</w:t>
      </w:r>
      <w:r w:rsidRPr="000D6007">
        <w:rPr>
          <w:rFonts w:ascii="Arial" w:hAnsi="Arial" w:cs="Arial"/>
        </w:rPr>
        <w:t>a</w:t>
      </w:r>
      <w:r w:rsidR="009B3E58" w:rsidRPr="000D6007">
        <w:rPr>
          <w:rFonts w:ascii="Arial" w:hAnsi="Arial" w:cs="Arial"/>
        </w:rPr>
        <w:t xml:space="preserve"> bil</w:t>
      </w:r>
      <w:r w:rsidRPr="000D6007">
        <w:rPr>
          <w:rFonts w:ascii="Arial" w:hAnsi="Arial" w:cs="Arial"/>
        </w:rPr>
        <w:t>a</w:t>
      </w:r>
      <w:r w:rsidR="009B3E58" w:rsidRPr="000D6007">
        <w:rPr>
          <w:rFonts w:ascii="Arial" w:hAnsi="Arial" w:cs="Arial"/>
        </w:rPr>
        <w:t xml:space="preserve"> dužn</w:t>
      </w:r>
      <w:r w:rsidRPr="000D6007">
        <w:rPr>
          <w:rFonts w:ascii="Arial" w:hAnsi="Arial" w:cs="Arial"/>
        </w:rPr>
        <w:t>a</w:t>
      </w:r>
      <w:r w:rsidR="009B3E58" w:rsidRPr="000D6007">
        <w:rPr>
          <w:rFonts w:ascii="Arial" w:hAnsi="Arial" w:cs="Arial"/>
        </w:rPr>
        <w:t xml:space="preserve"> na održanom pripremnom ročištu do zaključenja prethodnog postupka, zahtijevati od suda da on o navedenom prigovoru donese odluku, tj. da donese raspravno rješenje protiv kojeg ne bi bili ovlašteni izjavljivati posebnu žalbu, ali bi ju mogli pobijati žalbom protiv odluke o glavnoj stvari. Kako </w:t>
      </w:r>
      <w:r w:rsidR="00D42285" w:rsidRPr="000D6007">
        <w:rPr>
          <w:rFonts w:ascii="Arial" w:hAnsi="Arial" w:cs="Arial"/>
        </w:rPr>
        <w:t>je</w:t>
      </w:r>
      <w:r w:rsidR="009B3E58" w:rsidRPr="000D6007">
        <w:rPr>
          <w:rFonts w:ascii="Arial" w:hAnsi="Arial" w:cs="Arial"/>
        </w:rPr>
        <w:t xml:space="preserve"> tužen</w:t>
      </w:r>
      <w:r w:rsidR="00D42285" w:rsidRPr="000D6007">
        <w:rPr>
          <w:rFonts w:ascii="Arial" w:hAnsi="Arial" w:cs="Arial"/>
        </w:rPr>
        <w:t>a</w:t>
      </w:r>
      <w:r w:rsidR="009B3E58" w:rsidRPr="000D6007">
        <w:rPr>
          <w:rFonts w:ascii="Arial" w:hAnsi="Arial" w:cs="Arial"/>
        </w:rPr>
        <w:t xml:space="preserve"> navedeno propustil</w:t>
      </w:r>
      <w:r w:rsidR="00D42285" w:rsidRPr="000D6007">
        <w:rPr>
          <w:rFonts w:ascii="Arial" w:hAnsi="Arial" w:cs="Arial"/>
        </w:rPr>
        <w:t>a</w:t>
      </w:r>
      <w:r w:rsidR="009B3E58" w:rsidRPr="000D6007">
        <w:rPr>
          <w:rFonts w:ascii="Arial" w:hAnsi="Arial" w:cs="Arial"/>
        </w:rPr>
        <w:t xml:space="preserve"> učiniti u tužbi naznačena vrijednost predmeta spora se je ustalila i nju više nije moguće mijenjati</w:t>
      </w:r>
      <w:r w:rsidR="00D42285" w:rsidRPr="000D6007">
        <w:rPr>
          <w:rFonts w:ascii="Arial" w:hAnsi="Arial" w:cs="Arial"/>
        </w:rPr>
        <w:t>.</w:t>
      </w:r>
    </w:p>
    <w:p w:rsidR="00D42285" w:rsidRPr="000D6007" w:rsidRDefault="00D42285" w:rsidP="00EE6620">
      <w:pPr>
        <w:jc w:val="both"/>
        <w:rPr>
          <w:rFonts w:ascii="Arial" w:hAnsi="Arial" w:cs="Arial"/>
        </w:rPr>
      </w:pPr>
    </w:p>
    <w:p w:rsidR="00D42285" w:rsidRPr="000D6007" w:rsidRDefault="00D42285" w:rsidP="00EE6620">
      <w:pPr>
        <w:jc w:val="both"/>
        <w:rPr>
          <w:rFonts w:ascii="Arial" w:hAnsi="Arial" w:cs="Arial"/>
        </w:rPr>
      </w:pPr>
      <w:r w:rsidRPr="000D6007">
        <w:rPr>
          <w:rFonts w:ascii="Arial" w:hAnsi="Arial" w:cs="Arial"/>
        </w:rPr>
        <w:t>15. Neosnovano je osporavanje tužene tijekom postupka i u žalbi savjesnosti (poštenja posjeda) kao pretpostavke stjecanja prava vlasništva nekretnine redovnom dosjelošću.</w:t>
      </w:r>
    </w:p>
    <w:p w:rsidR="00D42285" w:rsidRPr="000D6007" w:rsidRDefault="00D42285" w:rsidP="00EE6620">
      <w:pPr>
        <w:jc w:val="both"/>
        <w:rPr>
          <w:rFonts w:ascii="Arial" w:hAnsi="Arial" w:cs="Arial"/>
        </w:rPr>
      </w:pPr>
    </w:p>
    <w:p w:rsidR="00D42285" w:rsidRPr="000D6007" w:rsidRDefault="00D42285" w:rsidP="00EE6620">
      <w:pPr>
        <w:jc w:val="both"/>
        <w:rPr>
          <w:rFonts w:ascii="Arial" w:hAnsi="Arial" w:cs="Arial"/>
        </w:rPr>
      </w:pPr>
      <w:r w:rsidRPr="000D6007">
        <w:rPr>
          <w:rFonts w:ascii="Arial" w:hAnsi="Arial" w:cs="Arial"/>
        </w:rPr>
        <w:t xml:space="preserve">16. Iz navedenih dokaza i predmeta spisa, unatoč pozivanju tužene na postojanje Ugovora o razrješenju ostavine, koji </w:t>
      </w:r>
      <w:proofErr w:type="spellStart"/>
      <w:r w:rsidRPr="000D6007">
        <w:rPr>
          <w:rFonts w:ascii="Arial" w:hAnsi="Arial" w:cs="Arial"/>
        </w:rPr>
        <w:t>prileži</w:t>
      </w:r>
      <w:proofErr w:type="spellEnd"/>
      <w:r w:rsidRPr="000D6007">
        <w:rPr>
          <w:rFonts w:ascii="Arial" w:hAnsi="Arial" w:cs="Arial"/>
        </w:rPr>
        <w:t xml:space="preserve"> spisu prvostupanjskog suda, broj O-</w:t>
      </w:r>
      <w:r w:rsidR="004E0A04">
        <w:rPr>
          <w:rFonts w:ascii="Arial" w:hAnsi="Arial" w:cs="Arial"/>
        </w:rPr>
        <w:t>...</w:t>
      </w:r>
      <w:r w:rsidRPr="000D6007">
        <w:rPr>
          <w:rFonts w:ascii="Arial" w:hAnsi="Arial" w:cs="Arial"/>
        </w:rPr>
        <w:t>, ne</w:t>
      </w:r>
      <w:r w:rsidR="006F38F4" w:rsidRPr="000D6007">
        <w:rPr>
          <w:rFonts w:ascii="Arial" w:hAnsi="Arial" w:cs="Arial"/>
        </w:rPr>
        <w:t xml:space="preserve"> proizlazi da posjed tužiteljice predmetne nekretnine, nije bio pošten (čl. 18. st. 3. ZV). Iz sadržaja predmetnog Ugovora, koji je i kao i sve izvedene dokaze sud analizirao i ocijenio u smislu čl. 8. ZPP, proizlazi upravo suprotno žalbenim navodima, o čemu je </w:t>
      </w:r>
      <w:r w:rsidR="006F38F4" w:rsidRPr="000D6007">
        <w:rPr>
          <w:rFonts w:ascii="Arial" w:hAnsi="Arial" w:cs="Arial"/>
        </w:rPr>
        <w:lastRenderedPageBreak/>
        <w:t>prvostupanjski sud dao valjane razloge, koji žalbenim navodima nisu dovedeni u sumnju.</w:t>
      </w:r>
    </w:p>
    <w:p w:rsidR="006F38F4" w:rsidRPr="000D6007" w:rsidRDefault="006F38F4" w:rsidP="00EE6620">
      <w:pPr>
        <w:jc w:val="both"/>
        <w:rPr>
          <w:rFonts w:ascii="Arial" w:hAnsi="Arial" w:cs="Arial"/>
        </w:rPr>
      </w:pPr>
    </w:p>
    <w:p w:rsidR="006F38F4" w:rsidRPr="000D6007" w:rsidRDefault="006F38F4" w:rsidP="00EE6620">
      <w:pPr>
        <w:jc w:val="both"/>
        <w:rPr>
          <w:rFonts w:ascii="Arial" w:hAnsi="Arial" w:cs="Arial"/>
        </w:rPr>
      </w:pPr>
      <w:r w:rsidRPr="000D6007">
        <w:rPr>
          <w:rFonts w:ascii="Arial" w:hAnsi="Arial" w:cs="Arial"/>
        </w:rPr>
        <w:t>17. Žalbu je stoga kao neosnovanu valjalo odbiti i u cijelosti potvrditi prvostupanjsku presudu (čl. 368. st. 1. ZPP).</w:t>
      </w:r>
    </w:p>
    <w:p w:rsidR="006F38F4" w:rsidRPr="000D6007" w:rsidRDefault="006F38F4" w:rsidP="00EE6620">
      <w:pPr>
        <w:jc w:val="both"/>
        <w:rPr>
          <w:rFonts w:ascii="Arial" w:hAnsi="Arial" w:cs="Arial"/>
        </w:rPr>
      </w:pPr>
    </w:p>
    <w:p w:rsidR="006F38F4" w:rsidRPr="000D6007" w:rsidRDefault="006F38F4" w:rsidP="00EE6620">
      <w:pPr>
        <w:jc w:val="both"/>
        <w:rPr>
          <w:rFonts w:ascii="Arial" w:hAnsi="Arial" w:cs="Arial"/>
        </w:rPr>
      </w:pPr>
      <w:r w:rsidRPr="000D6007">
        <w:rPr>
          <w:rFonts w:ascii="Arial" w:hAnsi="Arial" w:cs="Arial"/>
        </w:rPr>
        <w:t xml:space="preserve">18. </w:t>
      </w:r>
      <w:proofErr w:type="spellStart"/>
      <w:r w:rsidR="000D6007" w:rsidRPr="000D6007">
        <w:rPr>
          <w:rFonts w:ascii="Arial" w:hAnsi="Arial" w:cs="Arial"/>
        </w:rPr>
        <w:t>Podredno</w:t>
      </w:r>
      <w:proofErr w:type="spellEnd"/>
      <w:r w:rsidR="000D6007" w:rsidRPr="000D6007">
        <w:rPr>
          <w:rFonts w:ascii="Arial" w:hAnsi="Arial" w:cs="Arial"/>
        </w:rPr>
        <w:t xml:space="preserve"> pobijana odluka o naknadi parničnog troška je obrazložena i pravilna, a trošak dosuđen sukladno vrijednosti predmeta spora, važećoj Odvjetničkoj tarifi, te odredbi čl. 154. st. 1. i čl. 155. st. 1. ZPP, pa takovo obrazloženje prihvaća i ovaj sud.</w:t>
      </w:r>
    </w:p>
    <w:p w:rsidR="00CB449F" w:rsidRPr="000E7DD5" w:rsidRDefault="00CB449F" w:rsidP="00C82D34">
      <w:pPr>
        <w:ind w:firstLine="708"/>
        <w:jc w:val="both"/>
        <w:rPr>
          <w:rFonts w:ascii="Arial" w:hAnsi="Arial" w:cs="Arial"/>
        </w:rPr>
      </w:pPr>
    </w:p>
    <w:p w:rsidR="0009625C" w:rsidRPr="000E7DD5" w:rsidRDefault="009E4189" w:rsidP="00177F65">
      <w:pPr>
        <w:jc w:val="center"/>
        <w:rPr>
          <w:rFonts w:ascii="Arial" w:hAnsi="Arial" w:cs="Arial"/>
          <w:lang w:val="hr-HR"/>
        </w:rPr>
      </w:pPr>
      <w:r w:rsidRPr="000E7DD5">
        <w:rPr>
          <w:rFonts w:ascii="Arial" w:hAnsi="Arial" w:cs="Arial"/>
          <w:lang w:val="hr-HR"/>
        </w:rPr>
        <w:t>Osijek,</w:t>
      </w:r>
      <w:r w:rsidR="00AB3D49">
        <w:rPr>
          <w:rFonts w:ascii="Arial" w:hAnsi="Arial" w:cs="Arial"/>
          <w:lang w:val="hr-HR"/>
        </w:rPr>
        <w:t xml:space="preserve"> </w:t>
      </w:r>
      <w:r w:rsidR="00DF7DFC">
        <w:rPr>
          <w:rFonts w:ascii="Arial" w:hAnsi="Arial" w:cs="Arial"/>
          <w:lang w:val="hr-HR"/>
        </w:rPr>
        <w:t>2</w:t>
      </w:r>
      <w:r w:rsidR="00AB3D49">
        <w:rPr>
          <w:rFonts w:ascii="Arial" w:hAnsi="Arial" w:cs="Arial"/>
          <w:lang w:val="hr-HR"/>
        </w:rPr>
        <w:t>5.</w:t>
      </w:r>
      <w:r w:rsidR="00DF7DFC">
        <w:rPr>
          <w:rFonts w:ascii="Arial" w:hAnsi="Arial" w:cs="Arial"/>
          <w:lang w:val="hr-HR"/>
        </w:rPr>
        <w:t xml:space="preserve"> kolovoza</w:t>
      </w:r>
      <w:r w:rsidR="00AB3D49">
        <w:rPr>
          <w:rFonts w:ascii="Arial" w:hAnsi="Arial" w:cs="Arial"/>
          <w:lang w:val="hr-HR"/>
        </w:rPr>
        <w:t xml:space="preserve"> </w:t>
      </w:r>
      <w:r w:rsidR="0009625C" w:rsidRPr="000E7DD5">
        <w:rPr>
          <w:rFonts w:ascii="Arial" w:hAnsi="Arial" w:cs="Arial"/>
          <w:lang w:val="hr-HR"/>
        </w:rPr>
        <w:t>20</w:t>
      </w:r>
      <w:r w:rsidR="00471F39" w:rsidRPr="000E7DD5">
        <w:rPr>
          <w:rFonts w:ascii="Arial" w:hAnsi="Arial" w:cs="Arial"/>
          <w:lang w:val="hr-HR"/>
        </w:rPr>
        <w:t>2</w:t>
      </w:r>
      <w:r w:rsidR="00DF7DFC">
        <w:rPr>
          <w:rFonts w:ascii="Arial" w:hAnsi="Arial" w:cs="Arial"/>
          <w:lang w:val="hr-HR"/>
        </w:rPr>
        <w:t>2</w:t>
      </w:r>
      <w:r w:rsidR="0009625C" w:rsidRPr="000E7DD5">
        <w:rPr>
          <w:rFonts w:ascii="Arial" w:hAnsi="Arial" w:cs="Arial"/>
          <w:lang w:val="hr-HR"/>
        </w:rPr>
        <w:t>.</w:t>
      </w:r>
    </w:p>
    <w:p w:rsidR="003736D4" w:rsidRDefault="003736D4" w:rsidP="00177F65">
      <w:pPr>
        <w:jc w:val="center"/>
        <w:rPr>
          <w:rFonts w:ascii="Arial" w:hAnsi="Arial" w:cs="Arial"/>
          <w:lang w:val="hr-HR"/>
        </w:rPr>
      </w:pPr>
    </w:p>
    <w:tbl>
      <w:tblPr>
        <w:tblStyle w:val="Reetkatablice"/>
        <w:tblW w:w="0" w:type="auto"/>
        <w:tblLook w:val="04A0" w:firstRow="1" w:lastRow="0" w:firstColumn="1" w:lastColumn="0" w:noHBand="0" w:noVBand="1"/>
      </w:tblPr>
      <w:tblGrid>
        <w:gridCol w:w="3096"/>
        <w:gridCol w:w="3096"/>
        <w:gridCol w:w="3096"/>
      </w:tblGrid>
      <w:tr w:rsidR="000E7DD5" w:rsidRPr="008307BD" w:rsidTr="00790E08">
        <w:tc>
          <w:tcPr>
            <w:tcW w:w="3096" w:type="dxa"/>
            <w:tcBorders>
              <w:top w:val="nil"/>
              <w:left w:val="nil"/>
              <w:bottom w:val="nil"/>
              <w:right w:val="nil"/>
            </w:tcBorders>
          </w:tcPr>
          <w:p w:rsidR="000E7DD5" w:rsidRPr="008307BD" w:rsidRDefault="000E7DD5" w:rsidP="00790E08">
            <w:pPr>
              <w:jc w:val="center"/>
              <w:rPr>
                <w:rFonts w:ascii="Arial" w:hAnsi="Arial" w:cs="Arial"/>
              </w:rPr>
            </w:pPr>
          </w:p>
          <w:p w:rsidR="000E7DD5" w:rsidRPr="008307BD" w:rsidRDefault="000E7DD5" w:rsidP="00790E08">
            <w:pPr>
              <w:jc w:val="center"/>
              <w:rPr>
                <w:rFonts w:ascii="Arial" w:hAnsi="Arial" w:cs="Arial"/>
              </w:rPr>
            </w:pPr>
            <w:bookmarkStart w:id="0" w:name="_GoBack"/>
            <w:bookmarkEnd w:id="0"/>
          </w:p>
        </w:tc>
        <w:tc>
          <w:tcPr>
            <w:tcW w:w="3096" w:type="dxa"/>
            <w:tcBorders>
              <w:top w:val="nil"/>
              <w:left w:val="nil"/>
              <w:bottom w:val="nil"/>
              <w:right w:val="nil"/>
            </w:tcBorders>
          </w:tcPr>
          <w:p w:rsidR="000E7DD5" w:rsidRPr="008307BD" w:rsidRDefault="000E7DD5" w:rsidP="00790E08">
            <w:pPr>
              <w:rPr>
                <w:rFonts w:ascii="Arial" w:hAnsi="Arial" w:cs="Arial"/>
              </w:rPr>
            </w:pPr>
          </w:p>
        </w:tc>
        <w:tc>
          <w:tcPr>
            <w:tcW w:w="3096" w:type="dxa"/>
            <w:tcBorders>
              <w:top w:val="nil"/>
              <w:left w:val="nil"/>
              <w:bottom w:val="nil"/>
              <w:right w:val="nil"/>
            </w:tcBorders>
          </w:tcPr>
          <w:p w:rsidR="000E7DD5" w:rsidRPr="008307BD" w:rsidRDefault="000E7DD5" w:rsidP="00790E08">
            <w:pPr>
              <w:jc w:val="center"/>
              <w:rPr>
                <w:rFonts w:ascii="Arial" w:hAnsi="Arial" w:cs="Arial"/>
              </w:rPr>
            </w:pPr>
            <w:r w:rsidRPr="008307BD">
              <w:rPr>
                <w:rFonts w:ascii="Arial" w:hAnsi="Arial" w:cs="Arial"/>
              </w:rPr>
              <w:t>Predsjednik vijeća</w:t>
            </w:r>
          </w:p>
          <w:p w:rsidR="000E7DD5" w:rsidRPr="008307BD" w:rsidRDefault="000E7DD5" w:rsidP="00790E08">
            <w:pPr>
              <w:jc w:val="center"/>
              <w:rPr>
                <w:rFonts w:ascii="Arial" w:hAnsi="Arial" w:cs="Arial"/>
              </w:rPr>
            </w:pPr>
            <w:r w:rsidRPr="008307BD">
              <w:rPr>
                <w:rFonts w:ascii="Arial" w:hAnsi="Arial" w:cs="Arial"/>
              </w:rPr>
              <w:t>Melita Novoselac</w:t>
            </w:r>
          </w:p>
        </w:tc>
      </w:tr>
    </w:tbl>
    <w:p w:rsidR="000E7DD5" w:rsidRPr="008307BD" w:rsidRDefault="000E7DD5" w:rsidP="000E7DD5">
      <w:pPr>
        <w:rPr>
          <w:rFonts w:ascii="Arial" w:hAnsi="Arial" w:cs="Arial"/>
        </w:rPr>
      </w:pPr>
    </w:p>
    <w:p w:rsidR="000E7DD5" w:rsidRDefault="000E7DD5" w:rsidP="000E7DD5">
      <w:pPr>
        <w:rPr>
          <w:rFonts w:ascii="Arial" w:hAnsi="Arial" w:cs="Arial"/>
        </w:rPr>
      </w:pPr>
    </w:p>
    <w:p w:rsidR="000E7DD5" w:rsidRPr="000E7DD5" w:rsidRDefault="000E7DD5" w:rsidP="00177F65">
      <w:pPr>
        <w:jc w:val="center"/>
        <w:rPr>
          <w:rFonts w:ascii="Arial" w:hAnsi="Arial" w:cs="Arial"/>
          <w:lang w:val="hr-HR"/>
        </w:rPr>
      </w:pPr>
    </w:p>
    <w:sectPr w:rsidR="000E7DD5" w:rsidRPr="000E7DD5" w:rsidSect="003832A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7F" w:rsidRDefault="00E6207F" w:rsidP="00E6207F">
      <w:r>
        <w:separator/>
      </w:r>
    </w:p>
  </w:endnote>
  <w:endnote w:type="continuationSeparator" w:id="0">
    <w:p w:rsidR="00E6207F" w:rsidRDefault="00E6207F" w:rsidP="00E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7F" w:rsidRDefault="00E6207F" w:rsidP="00E6207F">
      <w:r>
        <w:separator/>
      </w:r>
    </w:p>
  </w:footnote>
  <w:footnote w:type="continuationSeparator" w:id="0">
    <w:p w:rsidR="00E6207F" w:rsidRDefault="00E6207F" w:rsidP="00E6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62872"/>
      <w:docPartObj>
        <w:docPartGallery w:val="Page Numbers (Top of Page)"/>
        <w:docPartUnique/>
      </w:docPartObj>
    </w:sdtPr>
    <w:sdtEndPr>
      <w:rPr>
        <w:rFonts w:ascii="Arial" w:hAnsi="Arial" w:cs="Arial"/>
      </w:rPr>
    </w:sdtEndPr>
    <w:sdtContent>
      <w:p w:rsidR="00E6207F" w:rsidRPr="000E7DD5" w:rsidRDefault="00E6207F">
        <w:pPr>
          <w:pStyle w:val="Zaglavlje"/>
          <w:jc w:val="center"/>
          <w:rPr>
            <w:rFonts w:ascii="Arial" w:hAnsi="Arial" w:cs="Arial"/>
          </w:rPr>
        </w:pPr>
        <w:r w:rsidRPr="000E7DD5">
          <w:rPr>
            <w:rFonts w:ascii="Arial" w:hAnsi="Arial" w:cs="Arial"/>
          </w:rPr>
          <w:fldChar w:fldCharType="begin"/>
        </w:r>
        <w:r w:rsidRPr="000E7DD5">
          <w:rPr>
            <w:rFonts w:ascii="Arial" w:hAnsi="Arial" w:cs="Arial"/>
          </w:rPr>
          <w:instrText>PAGE   \* MERGEFORMAT</w:instrText>
        </w:r>
        <w:r w:rsidRPr="000E7DD5">
          <w:rPr>
            <w:rFonts w:ascii="Arial" w:hAnsi="Arial" w:cs="Arial"/>
          </w:rPr>
          <w:fldChar w:fldCharType="separate"/>
        </w:r>
        <w:r w:rsidR="004E0A04" w:rsidRPr="004E0A04">
          <w:rPr>
            <w:rFonts w:ascii="Arial" w:hAnsi="Arial" w:cs="Arial"/>
            <w:noProof/>
            <w:lang w:val="hr-HR"/>
          </w:rPr>
          <w:t>4</w:t>
        </w:r>
        <w:r w:rsidRPr="000E7DD5">
          <w:rPr>
            <w:rFonts w:ascii="Arial" w:hAnsi="Arial" w:cs="Arial"/>
          </w:rPr>
          <w:fldChar w:fldCharType="end"/>
        </w:r>
      </w:p>
    </w:sdtContent>
  </w:sdt>
  <w:p w:rsidR="00A77C38" w:rsidRPr="000E7DD5" w:rsidRDefault="00E6207F" w:rsidP="00E6207F">
    <w:pPr>
      <w:pStyle w:val="Zaglavlje"/>
      <w:jc w:val="right"/>
      <w:rPr>
        <w:rFonts w:ascii="Arial" w:hAnsi="Arial" w:cs="Arial"/>
      </w:rPr>
    </w:pPr>
    <w:r w:rsidRPr="000E7DD5">
      <w:rPr>
        <w:rFonts w:ascii="Arial" w:hAnsi="Arial" w:cs="Arial"/>
      </w:rPr>
      <w:t xml:space="preserve">Poslovni broj  </w:t>
    </w:r>
    <w:proofErr w:type="spellStart"/>
    <w:r w:rsidRPr="000E7DD5">
      <w:rPr>
        <w:rFonts w:ascii="Arial" w:hAnsi="Arial" w:cs="Arial"/>
      </w:rPr>
      <w:t>Gž</w:t>
    </w:r>
    <w:proofErr w:type="spellEnd"/>
    <w:r w:rsidRPr="000E7DD5">
      <w:rPr>
        <w:rFonts w:ascii="Arial" w:hAnsi="Arial" w:cs="Arial"/>
      </w:rPr>
      <w:t>-</w:t>
    </w:r>
    <w:r w:rsidR="00DF7DFC">
      <w:rPr>
        <w:rFonts w:ascii="Arial" w:hAnsi="Arial" w:cs="Arial"/>
      </w:rPr>
      <w:t>101</w:t>
    </w:r>
    <w:r w:rsidR="00471F39" w:rsidRPr="000E7DD5">
      <w:rPr>
        <w:rFonts w:ascii="Arial" w:hAnsi="Arial" w:cs="Arial"/>
      </w:rPr>
      <w:t>/</w:t>
    </w:r>
    <w:r w:rsidRPr="000E7DD5">
      <w:rPr>
        <w:rFonts w:ascii="Arial" w:hAnsi="Arial" w:cs="Arial"/>
      </w:rPr>
      <w:t>20</w:t>
    </w:r>
    <w:r w:rsidR="000E7DD5" w:rsidRPr="000E7DD5">
      <w:rPr>
        <w:rFonts w:ascii="Arial" w:hAnsi="Arial" w:cs="Arial"/>
      </w:rPr>
      <w:t>2</w:t>
    </w:r>
    <w:r w:rsidR="00DF7DFC">
      <w:rPr>
        <w:rFonts w:ascii="Arial" w:hAnsi="Arial" w:cs="Arial"/>
      </w:rPr>
      <w:t>2</w:t>
    </w:r>
    <w:r w:rsidRPr="000E7DD5">
      <w:rPr>
        <w:rFonts w:ascii="Arial" w:hAnsi="Arial" w:cs="Arial"/>
      </w:rPr>
      <w:t>-2</w:t>
    </w:r>
  </w:p>
  <w:p w:rsidR="006560AE" w:rsidRPr="000E7DD5" w:rsidRDefault="006560AE" w:rsidP="00E6207F">
    <w:pPr>
      <w:pStyle w:val="Zaglavlje"/>
      <w:jc w:val="right"/>
      <w:rPr>
        <w:rFonts w:ascii="Arial" w:hAnsi="Arial" w:cs="Arial"/>
      </w:rPr>
    </w:pPr>
  </w:p>
  <w:p w:rsidR="007447AE" w:rsidRDefault="007447AE" w:rsidP="00E6207F">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42"/>
    <w:multiLevelType w:val="hybridMultilevel"/>
    <w:tmpl w:val="B22AA25A"/>
    <w:lvl w:ilvl="0" w:tplc="332EE93E">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84D6A89"/>
    <w:multiLevelType w:val="hybridMultilevel"/>
    <w:tmpl w:val="0544730A"/>
    <w:lvl w:ilvl="0" w:tplc="6D0498A8">
      <w:start w:val="1"/>
      <w:numFmt w:val="bullet"/>
      <w:lvlText w:val="-"/>
      <w:lvlJc w:val="left"/>
      <w:pPr>
        <w:ind w:left="1785" w:hanging="360"/>
      </w:pPr>
      <w:rPr>
        <w:rFonts w:ascii="Times New Roman" w:eastAsiaTheme="minorHAnsi" w:hAnsi="Times New Roman" w:cs="Times New Roman" w:hint="default"/>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hint="default"/>
      </w:rPr>
    </w:lvl>
    <w:lvl w:ilvl="3" w:tplc="041A0001">
      <w:start w:val="1"/>
      <w:numFmt w:val="bullet"/>
      <w:lvlText w:val=""/>
      <w:lvlJc w:val="left"/>
      <w:pPr>
        <w:ind w:left="3945" w:hanging="360"/>
      </w:pPr>
      <w:rPr>
        <w:rFonts w:ascii="Symbol" w:hAnsi="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hint="default"/>
      </w:rPr>
    </w:lvl>
    <w:lvl w:ilvl="6" w:tplc="041A0001">
      <w:start w:val="1"/>
      <w:numFmt w:val="bullet"/>
      <w:lvlText w:val=""/>
      <w:lvlJc w:val="left"/>
      <w:pPr>
        <w:ind w:left="6105" w:hanging="360"/>
      </w:pPr>
      <w:rPr>
        <w:rFonts w:ascii="Symbol" w:hAnsi="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hint="default"/>
      </w:rPr>
    </w:lvl>
  </w:abstractNum>
  <w:abstractNum w:abstractNumId="2">
    <w:nsid w:val="2C4E6D63"/>
    <w:multiLevelType w:val="hybridMultilevel"/>
    <w:tmpl w:val="C0DA0C52"/>
    <w:lvl w:ilvl="0" w:tplc="471A188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31250D08"/>
    <w:multiLevelType w:val="hybridMultilevel"/>
    <w:tmpl w:val="5C5CCE8A"/>
    <w:lvl w:ilvl="0" w:tplc="812E67B4">
      <w:start w:val="1"/>
      <w:numFmt w:val="bullet"/>
      <w:lvlText w:val=""/>
      <w:lvlJc w:val="righ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36CC7065"/>
    <w:multiLevelType w:val="hybridMultilevel"/>
    <w:tmpl w:val="514EB24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383D3D40"/>
    <w:multiLevelType w:val="hybridMultilevel"/>
    <w:tmpl w:val="9BEC2140"/>
    <w:lvl w:ilvl="0" w:tplc="86B8C1F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39400900"/>
    <w:multiLevelType w:val="hybridMultilevel"/>
    <w:tmpl w:val="A30A51A2"/>
    <w:lvl w:ilvl="0" w:tplc="81203BB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A10DF0"/>
    <w:multiLevelType w:val="hybridMultilevel"/>
    <w:tmpl w:val="83D64C5E"/>
    <w:lvl w:ilvl="0" w:tplc="4AB6B69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52C338CE"/>
    <w:multiLevelType w:val="hybridMultilevel"/>
    <w:tmpl w:val="D982F35C"/>
    <w:lvl w:ilvl="0" w:tplc="812E67B4">
      <w:start w:val="1"/>
      <w:numFmt w:val="bullet"/>
      <w:lvlText w:val=""/>
      <w:lvlJc w:val="righ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64F25231"/>
    <w:multiLevelType w:val="hybridMultilevel"/>
    <w:tmpl w:val="B8B22180"/>
    <w:lvl w:ilvl="0" w:tplc="57DC2B7A">
      <w:start w:val="1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66EB0A1D"/>
    <w:multiLevelType w:val="hybridMultilevel"/>
    <w:tmpl w:val="0394806E"/>
    <w:lvl w:ilvl="0" w:tplc="E9BA124A">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1">
    <w:nsid w:val="6F113BA0"/>
    <w:multiLevelType w:val="hybridMultilevel"/>
    <w:tmpl w:val="D7405B5E"/>
    <w:lvl w:ilvl="0" w:tplc="F7447E48">
      <w:start w:val="2"/>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8"/>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C"/>
    <w:rsid w:val="00010E25"/>
    <w:rsid w:val="00017FE8"/>
    <w:rsid w:val="00023979"/>
    <w:rsid w:val="00034051"/>
    <w:rsid w:val="0003666E"/>
    <w:rsid w:val="000370C5"/>
    <w:rsid w:val="00037EE5"/>
    <w:rsid w:val="000515B4"/>
    <w:rsid w:val="0005732C"/>
    <w:rsid w:val="00070F35"/>
    <w:rsid w:val="00072171"/>
    <w:rsid w:val="0007522D"/>
    <w:rsid w:val="00076390"/>
    <w:rsid w:val="000769E2"/>
    <w:rsid w:val="000806A3"/>
    <w:rsid w:val="00084DD4"/>
    <w:rsid w:val="000901F2"/>
    <w:rsid w:val="0009625C"/>
    <w:rsid w:val="000A004A"/>
    <w:rsid w:val="000A2EC4"/>
    <w:rsid w:val="000A3E0D"/>
    <w:rsid w:val="000B0D8C"/>
    <w:rsid w:val="000C4594"/>
    <w:rsid w:val="000C615A"/>
    <w:rsid w:val="000C6DFB"/>
    <w:rsid w:val="000D28F8"/>
    <w:rsid w:val="000D6007"/>
    <w:rsid w:val="000E7DD5"/>
    <w:rsid w:val="000F0ECA"/>
    <w:rsid w:val="000F1B5F"/>
    <w:rsid w:val="000F2A49"/>
    <w:rsid w:val="000F2DDF"/>
    <w:rsid w:val="000F39E6"/>
    <w:rsid w:val="0010026B"/>
    <w:rsid w:val="0010727D"/>
    <w:rsid w:val="00111873"/>
    <w:rsid w:val="0011208B"/>
    <w:rsid w:val="0011550E"/>
    <w:rsid w:val="00120979"/>
    <w:rsid w:val="001226DB"/>
    <w:rsid w:val="00131821"/>
    <w:rsid w:val="0013663D"/>
    <w:rsid w:val="00151269"/>
    <w:rsid w:val="00151EC3"/>
    <w:rsid w:val="00155485"/>
    <w:rsid w:val="00157078"/>
    <w:rsid w:val="0016495D"/>
    <w:rsid w:val="001705A7"/>
    <w:rsid w:val="00172583"/>
    <w:rsid w:val="0017284D"/>
    <w:rsid w:val="00175A4A"/>
    <w:rsid w:val="00177F65"/>
    <w:rsid w:val="001803F0"/>
    <w:rsid w:val="001843A5"/>
    <w:rsid w:val="0018553E"/>
    <w:rsid w:val="00191C21"/>
    <w:rsid w:val="0019235E"/>
    <w:rsid w:val="001956C8"/>
    <w:rsid w:val="001A2643"/>
    <w:rsid w:val="001B096E"/>
    <w:rsid w:val="001B545E"/>
    <w:rsid w:val="001B745F"/>
    <w:rsid w:val="001C08DD"/>
    <w:rsid w:val="001D1B39"/>
    <w:rsid w:val="001D35E9"/>
    <w:rsid w:val="001D39BA"/>
    <w:rsid w:val="001D3D68"/>
    <w:rsid w:val="001E137A"/>
    <w:rsid w:val="001E32FC"/>
    <w:rsid w:val="001E3654"/>
    <w:rsid w:val="001E4E71"/>
    <w:rsid w:val="001F5131"/>
    <w:rsid w:val="001F7E27"/>
    <w:rsid w:val="00200574"/>
    <w:rsid w:val="002072B5"/>
    <w:rsid w:val="00207D66"/>
    <w:rsid w:val="00211427"/>
    <w:rsid w:val="00217880"/>
    <w:rsid w:val="00220845"/>
    <w:rsid w:val="00226685"/>
    <w:rsid w:val="00227B11"/>
    <w:rsid w:val="0023078F"/>
    <w:rsid w:val="002413FB"/>
    <w:rsid w:val="00243892"/>
    <w:rsid w:val="0026751D"/>
    <w:rsid w:val="0028092C"/>
    <w:rsid w:val="00283BF1"/>
    <w:rsid w:val="002867A0"/>
    <w:rsid w:val="00286D6A"/>
    <w:rsid w:val="002918DF"/>
    <w:rsid w:val="0029297A"/>
    <w:rsid w:val="002A251E"/>
    <w:rsid w:val="002A6389"/>
    <w:rsid w:val="002A7484"/>
    <w:rsid w:val="002B1682"/>
    <w:rsid w:val="002B1BBC"/>
    <w:rsid w:val="002B3EF2"/>
    <w:rsid w:val="002B54B3"/>
    <w:rsid w:val="002C5228"/>
    <w:rsid w:val="002C6807"/>
    <w:rsid w:val="002C74B5"/>
    <w:rsid w:val="002D25FD"/>
    <w:rsid w:val="002D37D5"/>
    <w:rsid w:val="002D48A2"/>
    <w:rsid w:val="002D6555"/>
    <w:rsid w:val="002D6D3A"/>
    <w:rsid w:val="002E26C5"/>
    <w:rsid w:val="002E3387"/>
    <w:rsid w:val="002E3799"/>
    <w:rsid w:val="002E4AEB"/>
    <w:rsid w:val="002E4F5D"/>
    <w:rsid w:val="002F0EA5"/>
    <w:rsid w:val="002F53ED"/>
    <w:rsid w:val="00312BB8"/>
    <w:rsid w:val="00312F04"/>
    <w:rsid w:val="00313B98"/>
    <w:rsid w:val="00315161"/>
    <w:rsid w:val="0031784F"/>
    <w:rsid w:val="003216D3"/>
    <w:rsid w:val="0032201A"/>
    <w:rsid w:val="0032332E"/>
    <w:rsid w:val="003301F6"/>
    <w:rsid w:val="00331C59"/>
    <w:rsid w:val="00333F8D"/>
    <w:rsid w:val="0033560C"/>
    <w:rsid w:val="00340158"/>
    <w:rsid w:val="0034161D"/>
    <w:rsid w:val="00344E44"/>
    <w:rsid w:val="00363A3A"/>
    <w:rsid w:val="00364B1B"/>
    <w:rsid w:val="00365524"/>
    <w:rsid w:val="00371419"/>
    <w:rsid w:val="00371FCE"/>
    <w:rsid w:val="003733A3"/>
    <w:rsid w:val="003736D4"/>
    <w:rsid w:val="003761A5"/>
    <w:rsid w:val="003806D1"/>
    <w:rsid w:val="00381E09"/>
    <w:rsid w:val="003832A7"/>
    <w:rsid w:val="003842E2"/>
    <w:rsid w:val="00391537"/>
    <w:rsid w:val="003A08C2"/>
    <w:rsid w:val="003A419C"/>
    <w:rsid w:val="003A5867"/>
    <w:rsid w:val="003D3407"/>
    <w:rsid w:val="003D3504"/>
    <w:rsid w:val="003D66B5"/>
    <w:rsid w:val="003E14B2"/>
    <w:rsid w:val="003E2046"/>
    <w:rsid w:val="003E28A0"/>
    <w:rsid w:val="003E3FDA"/>
    <w:rsid w:val="003E6590"/>
    <w:rsid w:val="003E6FDA"/>
    <w:rsid w:val="003F070A"/>
    <w:rsid w:val="003F42C5"/>
    <w:rsid w:val="003F5FB0"/>
    <w:rsid w:val="004061C4"/>
    <w:rsid w:val="00410DD0"/>
    <w:rsid w:val="00411DD8"/>
    <w:rsid w:val="00417460"/>
    <w:rsid w:val="004225BD"/>
    <w:rsid w:val="0042532C"/>
    <w:rsid w:val="00425F44"/>
    <w:rsid w:val="0043156F"/>
    <w:rsid w:val="00431E7E"/>
    <w:rsid w:val="0043319B"/>
    <w:rsid w:val="00434AF1"/>
    <w:rsid w:val="00437CF9"/>
    <w:rsid w:val="004436D0"/>
    <w:rsid w:val="00445EEB"/>
    <w:rsid w:val="00447825"/>
    <w:rsid w:val="00450B80"/>
    <w:rsid w:val="004517A1"/>
    <w:rsid w:val="00452303"/>
    <w:rsid w:val="00471F39"/>
    <w:rsid w:val="00476C61"/>
    <w:rsid w:val="004851FE"/>
    <w:rsid w:val="00495352"/>
    <w:rsid w:val="004B4092"/>
    <w:rsid w:val="004C3D7E"/>
    <w:rsid w:val="004D06FE"/>
    <w:rsid w:val="004D7116"/>
    <w:rsid w:val="004E0466"/>
    <w:rsid w:val="004E0A04"/>
    <w:rsid w:val="004E464B"/>
    <w:rsid w:val="004E7103"/>
    <w:rsid w:val="004F00F2"/>
    <w:rsid w:val="004F02F3"/>
    <w:rsid w:val="004F4652"/>
    <w:rsid w:val="004F4C77"/>
    <w:rsid w:val="004F5A96"/>
    <w:rsid w:val="004F6281"/>
    <w:rsid w:val="00500F01"/>
    <w:rsid w:val="0050479B"/>
    <w:rsid w:val="00506A41"/>
    <w:rsid w:val="005077E4"/>
    <w:rsid w:val="00513861"/>
    <w:rsid w:val="005224FC"/>
    <w:rsid w:val="00523670"/>
    <w:rsid w:val="005255A7"/>
    <w:rsid w:val="00526573"/>
    <w:rsid w:val="00533B21"/>
    <w:rsid w:val="005340FD"/>
    <w:rsid w:val="0054050F"/>
    <w:rsid w:val="00541FC7"/>
    <w:rsid w:val="0054539D"/>
    <w:rsid w:val="00561EAB"/>
    <w:rsid w:val="00575F6E"/>
    <w:rsid w:val="005778F0"/>
    <w:rsid w:val="00581C5C"/>
    <w:rsid w:val="00581E99"/>
    <w:rsid w:val="00582EA5"/>
    <w:rsid w:val="00585090"/>
    <w:rsid w:val="005873E2"/>
    <w:rsid w:val="005910BA"/>
    <w:rsid w:val="0059154E"/>
    <w:rsid w:val="005915DD"/>
    <w:rsid w:val="005A0ADD"/>
    <w:rsid w:val="005A31A9"/>
    <w:rsid w:val="005A31EB"/>
    <w:rsid w:val="005B1ACE"/>
    <w:rsid w:val="005D3C3C"/>
    <w:rsid w:val="005D3F3A"/>
    <w:rsid w:val="005E0E49"/>
    <w:rsid w:val="005E66D9"/>
    <w:rsid w:val="005F78DC"/>
    <w:rsid w:val="006027F8"/>
    <w:rsid w:val="00626B43"/>
    <w:rsid w:val="00627CFE"/>
    <w:rsid w:val="0063008D"/>
    <w:rsid w:val="0063049C"/>
    <w:rsid w:val="006357B5"/>
    <w:rsid w:val="006422AF"/>
    <w:rsid w:val="006560AE"/>
    <w:rsid w:val="0065629C"/>
    <w:rsid w:val="00660CE1"/>
    <w:rsid w:val="00662103"/>
    <w:rsid w:val="00667AEA"/>
    <w:rsid w:val="0067057E"/>
    <w:rsid w:val="0068216D"/>
    <w:rsid w:val="006A0FE0"/>
    <w:rsid w:val="006A111E"/>
    <w:rsid w:val="006A6EC0"/>
    <w:rsid w:val="006B4A9C"/>
    <w:rsid w:val="006B4BDA"/>
    <w:rsid w:val="006B5339"/>
    <w:rsid w:val="006B6D4B"/>
    <w:rsid w:val="006C1742"/>
    <w:rsid w:val="006C2A96"/>
    <w:rsid w:val="006C31A4"/>
    <w:rsid w:val="006C58EE"/>
    <w:rsid w:val="006C7749"/>
    <w:rsid w:val="006D2862"/>
    <w:rsid w:val="006E32DD"/>
    <w:rsid w:val="006E4358"/>
    <w:rsid w:val="006E46BD"/>
    <w:rsid w:val="006E5247"/>
    <w:rsid w:val="006E561B"/>
    <w:rsid w:val="006F07C7"/>
    <w:rsid w:val="006F0CD0"/>
    <w:rsid w:val="006F38F4"/>
    <w:rsid w:val="0072013F"/>
    <w:rsid w:val="007201BA"/>
    <w:rsid w:val="007226C5"/>
    <w:rsid w:val="00726CB2"/>
    <w:rsid w:val="00726F64"/>
    <w:rsid w:val="00731C13"/>
    <w:rsid w:val="007364F7"/>
    <w:rsid w:val="0073663A"/>
    <w:rsid w:val="00741647"/>
    <w:rsid w:val="007416C1"/>
    <w:rsid w:val="007447AE"/>
    <w:rsid w:val="00746890"/>
    <w:rsid w:val="00746FF2"/>
    <w:rsid w:val="00747245"/>
    <w:rsid w:val="00755428"/>
    <w:rsid w:val="0076314D"/>
    <w:rsid w:val="00763A59"/>
    <w:rsid w:val="007640A6"/>
    <w:rsid w:val="0076498B"/>
    <w:rsid w:val="00764F8A"/>
    <w:rsid w:val="007655B5"/>
    <w:rsid w:val="007713AB"/>
    <w:rsid w:val="007747B7"/>
    <w:rsid w:val="0077574B"/>
    <w:rsid w:val="00775B0D"/>
    <w:rsid w:val="0078585C"/>
    <w:rsid w:val="007858C2"/>
    <w:rsid w:val="0079359F"/>
    <w:rsid w:val="00795204"/>
    <w:rsid w:val="007A0AE7"/>
    <w:rsid w:val="007A0D5A"/>
    <w:rsid w:val="007A3D61"/>
    <w:rsid w:val="007C0EBE"/>
    <w:rsid w:val="007C1E55"/>
    <w:rsid w:val="007C4D54"/>
    <w:rsid w:val="007D2836"/>
    <w:rsid w:val="007D6AD5"/>
    <w:rsid w:val="007E230C"/>
    <w:rsid w:val="007E5517"/>
    <w:rsid w:val="007F05F1"/>
    <w:rsid w:val="007F0796"/>
    <w:rsid w:val="007F4A75"/>
    <w:rsid w:val="0081185B"/>
    <w:rsid w:val="008159B5"/>
    <w:rsid w:val="0081665E"/>
    <w:rsid w:val="0082270F"/>
    <w:rsid w:val="008302B8"/>
    <w:rsid w:val="00832FAE"/>
    <w:rsid w:val="00834896"/>
    <w:rsid w:val="008363FA"/>
    <w:rsid w:val="00840D47"/>
    <w:rsid w:val="00846F6E"/>
    <w:rsid w:val="00847A01"/>
    <w:rsid w:val="0085048B"/>
    <w:rsid w:val="008565B5"/>
    <w:rsid w:val="00862DF4"/>
    <w:rsid w:val="008723E2"/>
    <w:rsid w:val="00883509"/>
    <w:rsid w:val="0088611C"/>
    <w:rsid w:val="00897830"/>
    <w:rsid w:val="00897B09"/>
    <w:rsid w:val="008A44A8"/>
    <w:rsid w:val="008A467B"/>
    <w:rsid w:val="008A5200"/>
    <w:rsid w:val="008A5972"/>
    <w:rsid w:val="008B5211"/>
    <w:rsid w:val="008B5827"/>
    <w:rsid w:val="008C4B3E"/>
    <w:rsid w:val="008D3545"/>
    <w:rsid w:val="008E093B"/>
    <w:rsid w:val="008E56AB"/>
    <w:rsid w:val="008E5D81"/>
    <w:rsid w:val="008E79D7"/>
    <w:rsid w:val="008F6FA7"/>
    <w:rsid w:val="00904EED"/>
    <w:rsid w:val="0091037A"/>
    <w:rsid w:val="009129CE"/>
    <w:rsid w:val="00915889"/>
    <w:rsid w:val="00916367"/>
    <w:rsid w:val="00920E49"/>
    <w:rsid w:val="009225AE"/>
    <w:rsid w:val="00924214"/>
    <w:rsid w:val="00924AC6"/>
    <w:rsid w:val="00925FBB"/>
    <w:rsid w:val="00934040"/>
    <w:rsid w:val="00934AC8"/>
    <w:rsid w:val="009427B9"/>
    <w:rsid w:val="00945E9D"/>
    <w:rsid w:val="00955B61"/>
    <w:rsid w:val="00955E63"/>
    <w:rsid w:val="00956431"/>
    <w:rsid w:val="00964E16"/>
    <w:rsid w:val="00965F68"/>
    <w:rsid w:val="00970936"/>
    <w:rsid w:val="00971798"/>
    <w:rsid w:val="00972A1B"/>
    <w:rsid w:val="00983164"/>
    <w:rsid w:val="00983CDA"/>
    <w:rsid w:val="009845D6"/>
    <w:rsid w:val="009900CC"/>
    <w:rsid w:val="009A46F2"/>
    <w:rsid w:val="009A6D71"/>
    <w:rsid w:val="009B399B"/>
    <w:rsid w:val="009B3E58"/>
    <w:rsid w:val="009B4AD4"/>
    <w:rsid w:val="009B5CC6"/>
    <w:rsid w:val="009C418D"/>
    <w:rsid w:val="009C45C3"/>
    <w:rsid w:val="009C5B3E"/>
    <w:rsid w:val="009C718E"/>
    <w:rsid w:val="009E0135"/>
    <w:rsid w:val="009E3D25"/>
    <w:rsid w:val="009E4189"/>
    <w:rsid w:val="009E7CB6"/>
    <w:rsid w:val="009F38FC"/>
    <w:rsid w:val="00A10FE0"/>
    <w:rsid w:val="00A15874"/>
    <w:rsid w:val="00A1666A"/>
    <w:rsid w:val="00A17420"/>
    <w:rsid w:val="00A22B2E"/>
    <w:rsid w:val="00A258DC"/>
    <w:rsid w:val="00A2763B"/>
    <w:rsid w:val="00A30C13"/>
    <w:rsid w:val="00A32024"/>
    <w:rsid w:val="00A33DDE"/>
    <w:rsid w:val="00A359EB"/>
    <w:rsid w:val="00A37D1F"/>
    <w:rsid w:val="00A403D0"/>
    <w:rsid w:val="00A40A88"/>
    <w:rsid w:val="00A41E74"/>
    <w:rsid w:val="00A521CA"/>
    <w:rsid w:val="00A54A1E"/>
    <w:rsid w:val="00A55B3F"/>
    <w:rsid w:val="00A64177"/>
    <w:rsid w:val="00A64B36"/>
    <w:rsid w:val="00A66B38"/>
    <w:rsid w:val="00A74E63"/>
    <w:rsid w:val="00A76094"/>
    <w:rsid w:val="00A77C38"/>
    <w:rsid w:val="00A81CE7"/>
    <w:rsid w:val="00A82E82"/>
    <w:rsid w:val="00A83D33"/>
    <w:rsid w:val="00A93818"/>
    <w:rsid w:val="00A96217"/>
    <w:rsid w:val="00AA4494"/>
    <w:rsid w:val="00AA76A3"/>
    <w:rsid w:val="00AB3092"/>
    <w:rsid w:val="00AB3116"/>
    <w:rsid w:val="00AB3D49"/>
    <w:rsid w:val="00AC1E27"/>
    <w:rsid w:val="00AC307E"/>
    <w:rsid w:val="00AC3D36"/>
    <w:rsid w:val="00AD3073"/>
    <w:rsid w:val="00AD5192"/>
    <w:rsid w:val="00AE3E4A"/>
    <w:rsid w:val="00AF1BFD"/>
    <w:rsid w:val="00AF5356"/>
    <w:rsid w:val="00AF74FD"/>
    <w:rsid w:val="00B017BD"/>
    <w:rsid w:val="00B027C7"/>
    <w:rsid w:val="00B04343"/>
    <w:rsid w:val="00B054BB"/>
    <w:rsid w:val="00B07157"/>
    <w:rsid w:val="00B10BA3"/>
    <w:rsid w:val="00B122DB"/>
    <w:rsid w:val="00B24235"/>
    <w:rsid w:val="00B24523"/>
    <w:rsid w:val="00B379B2"/>
    <w:rsid w:val="00B4214B"/>
    <w:rsid w:val="00B46A52"/>
    <w:rsid w:val="00B5300C"/>
    <w:rsid w:val="00B54A53"/>
    <w:rsid w:val="00B574B4"/>
    <w:rsid w:val="00B61442"/>
    <w:rsid w:val="00B8119F"/>
    <w:rsid w:val="00B8347F"/>
    <w:rsid w:val="00B8695A"/>
    <w:rsid w:val="00B87E61"/>
    <w:rsid w:val="00B92BAC"/>
    <w:rsid w:val="00BA2144"/>
    <w:rsid w:val="00BA2A7F"/>
    <w:rsid w:val="00BB08E4"/>
    <w:rsid w:val="00BB0A93"/>
    <w:rsid w:val="00BB1D7E"/>
    <w:rsid w:val="00BB41BC"/>
    <w:rsid w:val="00BC1F7B"/>
    <w:rsid w:val="00BC65FA"/>
    <w:rsid w:val="00BD2D0C"/>
    <w:rsid w:val="00BD60E5"/>
    <w:rsid w:val="00BD66E9"/>
    <w:rsid w:val="00BE64EB"/>
    <w:rsid w:val="00BF3EA4"/>
    <w:rsid w:val="00C1144A"/>
    <w:rsid w:val="00C128F7"/>
    <w:rsid w:val="00C1373D"/>
    <w:rsid w:val="00C2332F"/>
    <w:rsid w:val="00C27602"/>
    <w:rsid w:val="00C353EC"/>
    <w:rsid w:val="00C374A6"/>
    <w:rsid w:val="00C43EAA"/>
    <w:rsid w:val="00C523C4"/>
    <w:rsid w:val="00C5286F"/>
    <w:rsid w:val="00C567D3"/>
    <w:rsid w:val="00C62C15"/>
    <w:rsid w:val="00C63ADE"/>
    <w:rsid w:val="00C74E07"/>
    <w:rsid w:val="00C76548"/>
    <w:rsid w:val="00C8037A"/>
    <w:rsid w:val="00C82D34"/>
    <w:rsid w:val="00C82D44"/>
    <w:rsid w:val="00C929AA"/>
    <w:rsid w:val="00CA02BF"/>
    <w:rsid w:val="00CA1862"/>
    <w:rsid w:val="00CA5D71"/>
    <w:rsid w:val="00CB2547"/>
    <w:rsid w:val="00CB4051"/>
    <w:rsid w:val="00CB449F"/>
    <w:rsid w:val="00CC116B"/>
    <w:rsid w:val="00CC4571"/>
    <w:rsid w:val="00CE4DD9"/>
    <w:rsid w:val="00CE518B"/>
    <w:rsid w:val="00CF3ADE"/>
    <w:rsid w:val="00D02C43"/>
    <w:rsid w:val="00D11900"/>
    <w:rsid w:val="00D1252B"/>
    <w:rsid w:val="00D222B4"/>
    <w:rsid w:val="00D27FC6"/>
    <w:rsid w:val="00D32DEA"/>
    <w:rsid w:val="00D34747"/>
    <w:rsid w:val="00D42285"/>
    <w:rsid w:val="00D453FD"/>
    <w:rsid w:val="00D51E8D"/>
    <w:rsid w:val="00D525C5"/>
    <w:rsid w:val="00D54409"/>
    <w:rsid w:val="00D8090A"/>
    <w:rsid w:val="00D82879"/>
    <w:rsid w:val="00D82C03"/>
    <w:rsid w:val="00D8622D"/>
    <w:rsid w:val="00D86DB2"/>
    <w:rsid w:val="00D95CED"/>
    <w:rsid w:val="00D95F67"/>
    <w:rsid w:val="00D96B05"/>
    <w:rsid w:val="00D97CC4"/>
    <w:rsid w:val="00DA4A59"/>
    <w:rsid w:val="00DA514C"/>
    <w:rsid w:val="00DB1DEA"/>
    <w:rsid w:val="00DB24EB"/>
    <w:rsid w:val="00DC224B"/>
    <w:rsid w:val="00DC5CCB"/>
    <w:rsid w:val="00DC656B"/>
    <w:rsid w:val="00DD260A"/>
    <w:rsid w:val="00DE16A9"/>
    <w:rsid w:val="00DE1A83"/>
    <w:rsid w:val="00DE421F"/>
    <w:rsid w:val="00DE6E83"/>
    <w:rsid w:val="00DE7DC1"/>
    <w:rsid w:val="00DF2E2C"/>
    <w:rsid w:val="00DF6866"/>
    <w:rsid w:val="00DF6A57"/>
    <w:rsid w:val="00DF7DFC"/>
    <w:rsid w:val="00DF7EDF"/>
    <w:rsid w:val="00E005F8"/>
    <w:rsid w:val="00E179AF"/>
    <w:rsid w:val="00E23BD9"/>
    <w:rsid w:val="00E255B3"/>
    <w:rsid w:val="00E309F6"/>
    <w:rsid w:val="00E31006"/>
    <w:rsid w:val="00E32EB8"/>
    <w:rsid w:val="00E34FCA"/>
    <w:rsid w:val="00E444A4"/>
    <w:rsid w:val="00E464EF"/>
    <w:rsid w:val="00E548EE"/>
    <w:rsid w:val="00E6102D"/>
    <w:rsid w:val="00E61415"/>
    <w:rsid w:val="00E6207F"/>
    <w:rsid w:val="00E764CF"/>
    <w:rsid w:val="00E82A7D"/>
    <w:rsid w:val="00E83C60"/>
    <w:rsid w:val="00E8417C"/>
    <w:rsid w:val="00E874DF"/>
    <w:rsid w:val="00E87A5F"/>
    <w:rsid w:val="00E954B7"/>
    <w:rsid w:val="00E962E5"/>
    <w:rsid w:val="00E976CD"/>
    <w:rsid w:val="00E9774D"/>
    <w:rsid w:val="00EA51AD"/>
    <w:rsid w:val="00EB710E"/>
    <w:rsid w:val="00EC222F"/>
    <w:rsid w:val="00EC2B15"/>
    <w:rsid w:val="00EC6978"/>
    <w:rsid w:val="00ED0CC3"/>
    <w:rsid w:val="00ED1521"/>
    <w:rsid w:val="00ED1747"/>
    <w:rsid w:val="00ED2C5B"/>
    <w:rsid w:val="00EE30EA"/>
    <w:rsid w:val="00EE40E1"/>
    <w:rsid w:val="00EE596A"/>
    <w:rsid w:val="00EE6620"/>
    <w:rsid w:val="00EE77EB"/>
    <w:rsid w:val="00EF0C1E"/>
    <w:rsid w:val="00F0454A"/>
    <w:rsid w:val="00F17538"/>
    <w:rsid w:val="00F17DB6"/>
    <w:rsid w:val="00F32893"/>
    <w:rsid w:val="00F35CDC"/>
    <w:rsid w:val="00F45801"/>
    <w:rsid w:val="00F528B6"/>
    <w:rsid w:val="00F66ADA"/>
    <w:rsid w:val="00F7048F"/>
    <w:rsid w:val="00F7476E"/>
    <w:rsid w:val="00F75563"/>
    <w:rsid w:val="00F81459"/>
    <w:rsid w:val="00FA056F"/>
    <w:rsid w:val="00FA087F"/>
    <w:rsid w:val="00FA1CC4"/>
    <w:rsid w:val="00FA6301"/>
    <w:rsid w:val="00FB195B"/>
    <w:rsid w:val="00FB2B96"/>
    <w:rsid w:val="00FB5997"/>
    <w:rsid w:val="00FC46F3"/>
    <w:rsid w:val="00FC6C75"/>
    <w:rsid w:val="00FD4084"/>
    <w:rsid w:val="00FD6621"/>
    <w:rsid w:val="00FD7558"/>
    <w:rsid w:val="00FE146B"/>
    <w:rsid w:val="00FE4DCF"/>
    <w:rsid w:val="00FE7655"/>
    <w:rsid w:val="00FF2A44"/>
    <w:rsid w:val="00FF7E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09625C"/>
    <w:pPr>
      <w:tabs>
        <w:tab w:val="center" w:pos="4536"/>
        <w:tab w:val="right" w:pos="9072"/>
      </w:tabs>
    </w:pPr>
  </w:style>
  <w:style w:type="character" w:customStyle="1" w:styleId="ZaglavljeChar">
    <w:name w:val="Zaglavlje Char"/>
    <w:basedOn w:val="Zadanifontodlomka"/>
    <w:link w:val="Zaglavlje"/>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09625C"/>
    <w:pPr>
      <w:tabs>
        <w:tab w:val="center" w:pos="4536"/>
        <w:tab w:val="right" w:pos="9072"/>
      </w:tabs>
    </w:pPr>
  </w:style>
  <w:style w:type="character" w:customStyle="1" w:styleId="ZaglavljeChar">
    <w:name w:val="Zaglavlje Char"/>
    <w:basedOn w:val="Zadanifontodlomka"/>
    <w:link w:val="Zaglavlje"/>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997">
      <w:bodyDiv w:val="1"/>
      <w:marLeft w:val="0"/>
      <w:marRight w:val="0"/>
      <w:marTop w:val="0"/>
      <w:marBottom w:val="0"/>
      <w:divBdr>
        <w:top w:val="none" w:sz="0" w:space="0" w:color="auto"/>
        <w:left w:val="none" w:sz="0" w:space="0" w:color="auto"/>
        <w:bottom w:val="none" w:sz="0" w:space="0" w:color="auto"/>
        <w:right w:val="none" w:sz="0" w:space="0" w:color="auto"/>
      </w:divBdr>
    </w:div>
    <w:div w:id="134421518">
      <w:bodyDiv w:val="1"/>
      <w:marLeft w:val="0"/>
      <w:marRight w:val="0"/>
      <w:marTop w:val="0"/>
      <w:marBottom w:val="0"/>
      <w:divBdr>
        <w:top w:val="none" w:sz="0" w:space="0" w:color="auto"/>
        <w:left w:val="none" w:sz="0" w:space="0" w:color="auto"/>
        <w:bottom w:val="none" w:sz="0" w:space="0" w:color="auto"/>
        <w:right w:val="none" w:sz="0" w:space="0" w:color="auto"/>
      </w:divBdr>
    </w:div>
    <w:div w:id="141969211">
      <w:bodyDiv w:val="1"/>
      <w:marLeft w:val="0"/>
      <w:marRight w:val="0"/>
      <w:marTop w:val="0"/>
      <w:marBottom w:val="0"/>
      <w:divBdr>
        <w:top w:val="none" w:sz="0" w:space="0" w:color="auto"/>
        <w:left w:val="none" w:sz="0" w:space="0" w:color="auto"/>
        <w:bottom w:val="none" w:sz="0" w:space="0" w:color="auto"/>
        <w:right w:val="none" w:sz="0" w:space="0" w:color="auto"/>
      </w:divBdr>
    </w:div>
    <w:div w:id="357585841">
      <w:bodyDiv w:val="1"/>
      <w:marLeft w:val="0"/>
      <w:marRight w:val="0"/>
      <w:marTop w:val="0"/>
      <w:marBottom w:val="0"/>
      <w:divBdr>
        <w:top w:val="none" w:sz="0" w:space="0" w:color="auto"/>
        <w:left w:val="none" w:sz="0" w:space="0" w:color="auto"/>
        <w:bottom w:val="none" w:sz="0" w:space="0" w:color="auto"/>
        <w:right w:val="none" w:sz="0" w:space="0" w:color="auto"/>
      </w:divBdr>
    </w:div>
    <w:div w:id="401030262">
      <w:bodyDiv w:val="1"/>
      <w:marLeft w:val="0"/>
      <w:marRight w:val="0"/>
      <w:marTop w:val="0"/>
      <w:marBottom w:val="0"/>
      <w:divBdr>
        <w:top w:val="none" w:sz="0" w:space="0" w:color="auto"/>
        <w:left w:val="none" w:sz="0" w:space="0" w:color="auto"/>
        <w:bottom w:val="none" w:sz="0" w:space="0" w:color="auto"/>
        <w:right w:val="none" w:sz="0" w:space="0" w:color="auto"/>
      </w:divBdr>
    </w:div>
    <w:div w:id="418402815">
      <w:bodyDiv w:val="1"/>
      <w:marLeft w:val="0"/>
      <w:marRight w:val="0"/>
      <w:marTop w:val="0"/>
      <w:marBottom w:val="0"/>
      <w:divBdr>
        <w:top w:val="none" w:sz="0" w:space="0" w:color="auto"/>
        <w:left w:val="none" w:sz="0" w:space="0" w:color="auto"/>
        <w:bottom w:val="none" w:sz="0" w:space="0" w:color="auto"/>
        <w:right w:val="none" w:sz="0" w:space="0" w:color="auto"/>
      </w:divBdr>
    </w:div>
    <w:div w:id="579683632">
      <w:bodyDiv w:val="1"/>
      <w:marLeft w:val="0"/>
      <w:marRight w:val="0"/>
      <w:marTop w:val="0"/>
      <w:marBottom w:val="0"/>
      <w:divBdr>
        <w:top w:val="none" w:sz="0" w:space="0" w:color="auto"/>
        <w:left w:val="none" w:sz="0" w:space="0" w:color="auto"/>
        <w:bottom w:val="none" w:sz="0" w:space="0" w:color="auto"/>
        <w:right w:val="none" w:sz="0" w:space="0" w:color="auto"/>
      </w:divBdr>
    </w:div>
    <w:div w:id="768426478">
      <w:bodyDiv w:val="1"/>
      <w:marLeft w:val="0"/>
      <w:marRight w:val="0"/>
      <w:marTop w:val="0"/>
      <w:marBottom w:val="0"/>
      <w:divBdr>
        <w:top w:val="none" w:sz="0" w:space="0" w:color="auto"/>
        <w:left w:val="none" w:sz="0" w:space="0" w:color="auto"/>
        <w:bottom w:val="none" w:sz="0" w:space="0" w:color="auto"/>
        <w:right w:val="none" w:sz="0" w:space="0" w:color="auto"/>
      </w:divBdr>
    </w:div>
    <w:div w:id="865288051">
      <w:bodyDiv w:val="1"/>
      <w:marLeft w:val="0"/>
      <w:marRight w:val="0"/>
      <w:marTop w:val="0"/>
      <w:marBottom w:val="0"/>
      <w:divBdr>
        <w:top w:val="none" w:sz="0" w:space="0" w:color="auto"/>
        <w:left w:val="none" w:sz="0" w:space="0" w:color="auto"/>
        <w:bottom w:val="none" w:sz="0" w:space="0" w:color="auto"/>
        <w:right w:val="none" w:sz="0" w:space="0" w:color="auto"/>
      </w:divBdr>
    </w:div>
    <w:div w:id="876039802">
      <w:bodyDiv w:val="1"/>
      <w:marLeft w:val="0"/>
      <w:marRight w:val="0"/>
      <w:marTop w:val="0"/>
      <w:marBottom w:val="0"/>
      <w:divBdr>
        <w:top w:val="none" w:sz="0" w:space="0" w:color="auto"/>
        <w:left w:val="none" w:sz="0" w:space="0" w:color="auto"/>
        <w:bottom w:val="none" w:sz="0" w:space="0" w:color="auto"/>
        <w:right w:val="none" w:sz="0" w:space="0" w:color="auto"/>
      </w:divBdr>
    </w:div>
    <w:div w:id="891237981">
      <w:bodyDiv w:val="1"/>
      <w:marLeft w:val="0"/>
      <w:marRight w:val="0"/>
      <w:marTop w:val="0"/>
      <w:marBottom w:val="0"/>
      <w:divBdr>
        <w:top w:val="none" w:sz="0" w:space="0" w:color="auto"/>
        <w:left w:val="none" w:sz="0" w:space="0" w:color="auto"/>
        <w:bottom w:val="none" w:sz="0" w:space="0" w:color="auto"/>
        <w:right w:val="none" w:sz="0" w:space="0" w:color="auto"/>
      </w:divBdr>
    </w:div>
    <w:div w:id="1134375808">
      <w:bodyDiv w:val="1"/>
      <w:marLeft w:val="0"/>
      <w:marRight w:val="0"/>
      <w:marTop w:val="0"/>
      <w:marBottom w:val="0"/>
      <w:divBdr>
        <w:top w:val="none" w:sz="0" w:space="0" w:color="auto"/>
        <w:left w:val="none" w:sz="0" w:space="0" w:color="auto"/>
        <w:bottom w:val="none" w:sz="0" w:space="0" w:color="auto"/>
        <w:right w:val="none" w:sz="0" w:space="0" w:color="auto"/>
      </w:divBdr>
    </w:div>
    <w:div w:id="1175614421">
      <w:bodyDiv w:val="1"/>
      <w:marLeft w:val="0"/>
      <w:marRight w:val="0"/>
      <w:marTop w:val="0"/>
      <w:marBottom w:val="0"/>
      <w:divBdr>
        <w:top w:val="none" w:sz="0" w:space="0" w:color="auto"/>
        <w:left w:val="none" w:sz="0" w:space="0" w:color="auto"/>
        <w:bottom w:val="none" w:sz="0" w:space="0" w:color="auto"/>
        <w:right w:val="none" w:sz="0" w:space="0" w:color="auto"/>
      </w:divBdr>
    </w:div>
    <w:div w:id="1238591984">
      <w:bodyDiv w:val="1"/>
      <w:marLeft w:val="0"/>
      <w:marRight w:val="0"/>
      <w:marTop w:val="0"/>
      <w:marBottom w:val="0"/>
      <w:divBdr>
        <w:top w:val="none" w:sz="0" w:space="0" w:color="auto"/>
        <w:left w:val="none" w:sz="0" w:space="0" w:color="auto"/>
        <w:bottom w:val="none" w:sz="0" w:space="0" w:color="auto"/>
        <w:right w:val="none" w:sz="0" w:space="0" w:color="auto"/>
      </w:divBdr>
    </w:div>
    <w:div w:id="1276599053">
      <w:bodyDiv w:val="1"/>
      <w:marLeft w:val="0"/>
      <w:marRight w:val="0"/>
      <w:marTop w:val="0"/>
      <w:marBottom w:val="0"/>
      <w:divBdr>
        <w:top w:val="none" w:sz="0" w:space="0" w:color="auto"/>
        <w:left w:val="none" w:sz="0" w:space="0" w:color="auto"/>
        <w:bottom w:val="none" w:sz="0" w:space="0" w:color="auto"/>
        <w:right w:val="none" w:sz="0" w:space="0" w:color="auto"/>
      </w:divBdr>
    </w:div>
    <w:div w:id="1340815266">
      <w:bodyDiv w:val="1"/>
      <w:marLeft w:val="0"/>
      <w:marRight w:val="0"/>
      <w:marTop w:val="0"/>
      <w:marBottom w:val="0"/>
      <w:divBdr>
        <w:top w:val="none" w:sz="0" w:space="0" w:color="auto"/>
        <w:left w:val="none" w:sz="0" w:space="0" w:color="auto"/>
        <w:bottom w:val="none" w:sz="0" w:space="0" w:color="auto"/>
        <w:right w:val="none" w:sz="0" w:space="0" w:color="auto"/>
      </w:divBdr>
    </w:div>
    <w:div w:id="1428624241">
      <w:bodyDiv w:val="1"/>
      <w:marLeft w:val="0"/>
      <w:marRight w:val="0"/>
      <w:marTop w:val="0"/>
      <w:marBottom w:val="0"/>
      <w:divBdr>
        <w:top w:val="none" w:sz="0" w:space="0" w:color="auto"/>
        <w:left w:val="none" w:sz="0" w:space="0" w:color="auto"/>
        <w:bottom w:val="none" w:sz="0" w:space="0" w:color="auto"/>
        <w:right w:val="none" w:sz="0" w:space="0" w:color="auto"/>
      </w:divBdr>
    </w:div>
    <w:div w:id="1530528385">
      <w:bodyDiv w:val="1"/>
      <w:marLeft w:val="0"/>
      <w:marRight w:val="0"/>
      <w:marTop w:val="0"/>
      <w:marBottom w:val="0"/>
      <w:divBdr>
        <w:top w:val="none" w:sz="0" w:space="0" w:color="auto"/>
        <w:left w:val="none" w:sz="0" w:space="0" w:color="auto"/>
        <w:bottom w:val="none" w:sz="0" w:space="0" w:color="auto"/>
        <w:right w:val="none" w:sz="0" w:space="0" w:color="auto"/>
      </w:divBdr>
    </w:div>
    <w:div w:id="1613322132">
      <w:bodyDiv w:val="1"/>
      <w:marLeft w:val="0"/>
      <w:marRight w:val="0"/>
      <w:marTop w:val="0"/>
      <w:marBottom w:val="0"/>
      <w:divBdr>
        <w:top w:val="none" w:sz="0" w:space="0" w:color="auto"/>
        <w:left w:val="none" w:sz="0" w:space="0" w:color="auto"/>
        <w:bottom w:val="none" w:sz="0" w:space="0" w:color="auto"/>
        <w:right w:val="none" w:sz="0" w:space="0" w:color="auto"/>
      </w:divBdr>
    </w:div>
    <w:div w:id="1684744879">
      <w:bodyDiv w:val="1"/>
      <w:marLeft w:val="0"/>
      <w:marRight w:val="0"/>
      <w:marTop w:val="0"/>
      <w:marBottom w:val="0"/>
      <w:divBdr>
        <w:top w:val="none" w:sz="0" w:space="0" w:color="auto"/>
        <w:left w:val="none" w:sz="0" w:space="0" w:color="auto"/>
        <w:bottom w:val="none" w:sz="0" w:space="0" w:color="auto"/>
        <w:right w:val="none" w:sz="0" w:space="0" w:color="auto"/>
      </w:divBdr>
    </w:div>
    <w:div w:id="17372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77CF-091C-4A1F-901F-44FCCAD4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Jovanović</dc:creator>
  <cp:lastModifiedBy>Manda Neferanović</cp:lastModifiedBy>
  <cp:revision>2</cp:revision>
  <cp:lastPrinted>2022-08-25T08:49:00Z</cp:lastPrinted>
  <dcterms:created xsi:type="dcterms:W3CDTF">2022-09-27T06:38:00Z</dcterms:created>
  <dcterms:modified xsi:type="dcterms:W3CDTF">2022-09-27T06:38:00Z</dcterms:modified>
</cp:coreProperties>
</file>