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754A20" w:rsidRPr="00384A1B" w:rsidTr="00B72FA7">
        <w:trPr>
          <w:gridBefore w:val="1"/>
          <w:gridAfter w:val="1"/>
          <w:wBefore w:w="410" w:type="dxa"/>
          <w:wAfter w:w="608" w:type="dxa"/>
        </w:trPr>
        <w:tc>
          <w:tcPr>
            <w:tcW w:w="3302" w:type="dxa"/>
            <w:shd w:val="clear" w:color="auto" w:fill="auto"/>
          </w:tcPr>
          <w:p w:rsidR="00754A20" w:rsidRPr="00384A1B" w:rsidRDefault="00754A20" w:rsidP="00B72FA7">
            <w:pPr>
              <w:jc w:val="center"/>
            </w:pPr>
            <w:r w:rsidRPr="00384A1B">
              <w:rPr>
                <w:noProof/>
                <w:lang w:eastAsia="hr-HR"/>
              </w:rPr>
              <w:drawing>
                <wp:inline distT="0" distB="0" distL="0" distR="0" wp14:anchorId="2B0E1E17" wp14:editId="57A526CE">
                  <wp:extent cx="533400"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754A20" w:rsidRPr="00384A1B" w:rsidRDefault="00754A20" w:rsidP="00B72FA7">
            <w:pPr>
              <w:jc w:val="center"/>
            </w:pPr>
            <w:r w:rsidRPr="00384A1B">
              <w:t>Republika Hrvatska</w:t>
            </w:r>
          </w:p>
          <w:p w:rsidR="00754A20" w:rsidRPr="00384A1B" w:rsidRDefault="00754A20" w:rsidP="00B72FA7">
            <w:pPr>
              <w:jc w:val="center"/>
            </w:pPr>
            <w:r w:rsidRPr="00384A1B">
              <w:t xml:space="preserve">Županijski sud u Osijeku </w:t>
            </w:r>
          </w:p>
          <w:p w:rsidR="00754A20" w:rsidRPr="00384A1B" w:rsidRDefault="00754A20" w:rsidP="00B72FA7">
            <w:pPr>
              <w:jc w:val="center"/>
            </w:pPr>
            <w:r w:rsidRPr="00384A1B">
              <w:t>Osijek, Europska avenija 7</w:t>
            </w:r>
          </w:p>
          <w:p w:rsidR="00754A20" w:rsidRPr="00384A1B" w:rsidRDefault="00754A20" w:rsidP="00B72FA7">
            <w:pPr>
              <w:jc w:val="center"/>
            </w:pPr>
          </w:p>
        </w:tc>
      </w:tr>
      <w:tr w:rsidR="00754A20" w:rsidRPr="00384A1B" w:rsidTr="00B72FA7">
        <w:tblPrEx>
          <w:tblCellMar>
            <w:left w:w="0" w:type="dxa"/>
            <w:right w:w="0" w:type="dxa"/>
          </w:tblCellMar>
          <w:tblLook w:val="01E0" w:firstRow="1" w:lastRow="1" w:firstColumn="1" w:lastColumn="1" w:noHBand="0" w:noVBand="0"/>
        </w:tblPrEx>
        <w:tc>
          <w:tcPr>
            <w:tcW w:w="4320" w:type="dxa"/>
            <w:gridSpan w:val="3"/>
          </w:tcPr>
          <w:p w:rsidR="00754A20" w:rsidRPr="00384A1B" w:rsidRDefault="00754A20" w:rsidP="00B72FA7">
            <w:pPr>
              <w:pStyle w:val="VSVerzija"/>
              <w:jc w:val="right"/>
            </w:pPr>
          </w:p>
        </w:tc>
      </w:tr>
    </w:tbl>
    <w:p w:rsidR="00754A20" w:rsidRPr="00384A1B" w:rsidRDefault="00754A20" w:rsidP="006F3951">
      <w:pPr>
        <w:jc w:val="both"/>
      </w:pPr>
    </w:p>
    <w:p w:rsidR="00754A20" w:rsidRPr="00384A1B" w:rsidRDefault="00754A20" w:rsidP="00B72FA7"/>
    <w:p w:rsidR="00754A20" w:rsidRPr="00384A1B" w:rsidRDefault="00754A20" w:rsidP="00B72FA7"/>
    <w:p w:rsidR="00754A20" w:rsidRPr="00384A1B" w:rsidRDefault="00754A20" w:rsidP="006F3951">
      <w:pPr>
        <w:jc w:val="both"/>
      </w:pPr>
    </w:p>
    <w:p w:rsidR="00754A20" w:rsidRPr="00384A1B" w:rsidRDefault="00754A20" w:rsidP="006F3951">
      <w:pPr>
        <w:jc w:val="both"/>
      </w:pPr>
    </w:p>
    <w:p w:rsidR="00194D77" w:rsidRPr="00384A1B" w:rsidRDefault="00194D77" w:rsidP="00754A20">
      <w:pPr>
        <w:ind w:firstLine="720"/>
        <w:jc w:val="right"/>
      </w:pPr>
    </w:p>
    <w:p w:rsidR="00754A20" w:rsidRPr="00384A1B" w:rsidRDefault="00754A20" w:rsidP="00754A20">
      <w:pPr>
        <w:ind w:firstLine="720"/>
        <w:jc w:val="right"/>
      </w:pPr>
      <w:r w:rsidRPr="00384A1B">
        <w:t xml:space="preserve">Poslovni broj </w:t>
      </w:r>
      <w:proofErr w:type="spellStart"/>
      <w:r w:rsidRPr="00384A1B">
        <w:t>Gž</w:t>
      </w:r>
      <w:proofErr w:type="spellEnd"/>
      <w:r w:rsidRPr="00384A1B">
        <w:t>-</w:t>
      </w:r>
      <w:r w:rsidR="00EE6BDD" w:rsidRPr="00384A1B">
        <w:t>3241</w:t>
      </w:r>
      <w:r w:rsidR="0084724C" w:rsidRPr="00384A1B">
        <w:t>/2019-2</w:t>
      </w:r>
    </w:p>
    <w:p w:rsidR="00754A20" w:rsidRPr="00384A1B" w:rsidRDefault="00754A20" w:rsidP="00B72FA7">
      <w:pPr>
        <w:jc w:val="right"/>
      </w:pPr>
    </w:p>
    <w:p w:rsidR="00F24D9A" w:rsidRPr="00384A1B" w:rsidRDefault="004803C7" w:rsidP="00B80CCE">
      <w:pPr>
        <w:ind w:firstLine="720"/>
        <w:jc w:val="right"/>
      </w:pPr>
      <w:r w:rsidRPr="00384A1B">
        <w:t xml:space="preserve">                                               </w:t>
      </w:r>
    </w:p>
    <w:p w:rsidR="00194D77" w:rsidRPr="00384A1B" w:rsidRDefault="00194D77" w:rsidP="007A5E9D">
      <w:pPr>
        <w:jc w:val="center"/>
      </w:pPr>
    </w:p>
    <w:p w:rsidR="00817BBB" w:rsidRPr="00384A1B" w:rsidRDefault="00E83FD7" w:rsidP="007A5E9D">
      <w:pPr>
        <w:jc w:val="center"/>
      </w:pPr>
      <w:r w:rsidRPr="00384A1B">
        <w:t xml:space="preserve">U   I M E   R E P U B L I K E   H R V A T S K E </w:t>
      </w:r>
    </w:p>
    <w:p w:rsidR="00E83FD7" w:rsidRPr="00384A1B" w:rsidRDefault="00E83FD7" w:rsidP="007A5E9D">
      <w:pPr>
        <w:jc w:val="center"/>
      </w:pPr>
    </w:p>
    <w:p w:rsidR="00E83FD7" w:rsidRPr="00384A1B" w:rsidRDefault="00F24D9A" w:rsidP="007A5E9D">
      <w:pPr>
        <w:jc w:val="center"/>
      </w:pPr>
      <w:r w:rsidRPr="00384A1B">
        <w:t>P R E S U D A</w:t>
      </w:r>
      <w:r w:rsidR="00E83FD7" w:rsidRPr="00384A1B">
        <w:t xml:space="preserve"> </w:t>
      </w:r>
    </w:p>
    <w:p w:rsidR="00F3008B" w:rsidRPr="00384A1B" w:rsidRDefault="0093348F" w:rsidP="0093348F">
      <w:pPr>
        <w:jc w:val="center"/>
      </w:pPr>
      <w:r w:rsidRPr="00384A1B">
        <w:tab/>
      </w:r>
      <w:r w:rsidRPr="00384A1B">
        <w:tab/>
      </w:r>
      <w:r w:rsidRPr="00384A1B">
        <w:tab/>
      </w:r>
    </w:p>
    <w:p w:rsidR="004C2529" w:rsidRPr="00384A1B" w:rsidRDefault="004C2529" w:rsidP="0093348F">
      <w:pPr>
        <w:jc w:val="center"/>
      </w:pPr>
    </w:p>
    <w:p w:rsidR="009A6B4A" w:rsidRPr="00384A1B" w:rsidRDefault="003E0111" w:rsidP="00C24DFD">
      <w:pPr>
        <w:ind w:firstLine="720"/>
        <w:jc w:val="both"/>
      </w:pPr>
      <w:r w:rsidRPr="00384A1B">
        <w:t xml:space="preserve">Županijski sud u Osijeku, </w:t>
      </w:r>
      <w:r w:rsidR="00046B82" w:rsidRPr="00384A1B">
        <w:t>u vijeću sastavljenom od sutkinje Marijane Žigić, predsjednice vijeća, te dr. sc. Sanje Zagrajski sutkinje izvjestiteljice i članice vijeća i sutkinje Snježane Androš, članice vijeća</w:t>
      </w:r>
      <w:r w:rsidRPr="00384A1B">
        <w:t>, u pravnoj stvari</w:t>
      </w:r>
      <w:r w:rsidR="00CF43F9" w:rsidRPr="00384A1B">
        <w:t xml:space="preserve"> </w:t>
      </w:r>
      <w:r w:rsidR="00EE6BDD" w:rsidRPr="00384A1B">
        <w:t>t</w:t>
      </w:r>
      <w:r w:rsidR="0051512D" w:rsidRPr="00384A1B">
        <w:t>užitelja E</w:t>
      </w:r>
      <w:r w:rsidR="00CA14BD">
        <w:t>.</w:t>
      </w:r>
      <w:r w:rsidR="0051512D" w:rsidRPr="00384A1B">
        <w:t xml:space="preserve"> C</w:t>
      </w:r>
      <w:r w:rsidR="00CA14BD">
        <w:t>.</w:t>
      </w:r>
      <w:r w:rsidR="0051512D" w:rsidRPr="00384A1B">
        <w:t xml:space="preserve"> C</w:t>
      </w:r>
      <w:r w:rsidR="00CA14BD">
        <w:t>.</w:t>
      </w:r>
      <w:r w:rsidR="0051512D" w:rsidRPr="00384A1B">
        <w:t xml:space="preserve"> d.o.o. </w:t>
      </w:r>
      <w:proofErr w:type="spellStart"/>
      <w:r w:rsidR="0051512D" w:rsidRPr="00384A1B">
        <w:t>Z</w:t>
      </w:r>
      <w:r w:rsidR="00CA14BD">
        <w:t>..</w:t>
      </w:r>
      <w:proofErr w:type="spellEnd"/>
      <w:r w:rsidR="00CA14BD">
        <w:t>., ...</w:t>
      </w:r>
      <w:r w:rsidR="0051512D" w:rsidRPr="00384A1B">
        <w:t>, OIB</w:t>
      </w:r>
      <w:r w:rsidR="00EE6BDD" w:rsidRPr="00384A1B">
        <w:t xml:space="preserve"> </w:t>
      </w:r>
      <w:r w:rsidR="00CA14BD">
        <w:t>...</w:t>
      </w:r>
      <w:r w:rsidR="00EE6BDD" w:rsidRPr="00384A1B">
        <w:t xml:space="preserve">, </w:t>
      </w:r>
      <w:r w:rsidR="0051512D" w:rsidRPr="00384A1B">
        <w:t>kojeg zastupa</w:t>
      </w:r>
      <w:r w:rsidR="00F4259D" w:rsidRPr="00384A1B">
        <w:t>ju</w:t>
      </w:r>
      <w:r w:rsidR="00EE6BDD" w:rsidRPr="00384A1B">
        <w:t xml:space="preserve"> </w:t>
      </w:r>
      <w:r w:rsidR="00F4259D" w:rsidRPr="00384A1B">
        <w:t>punomoćnici</w:t>
      </w:r>
      <w:r w:rsidR="00071D8A" w:rsidRPr="00384A1B">
        <w:t xml:space="preserve"> odvjetn</w:t>
      </w:r>
      <w:r w:rsidR="00F4259D" w:rsidRPr="00384A1B">
        <w:t>ici</w:t>
      </w:r>
      <w:r w:rsidR="00EE6BDD" w:rsidRPr="00384A1B">
        <w:t xml:space="preserve"> u O</w:t>
      </w:r>
      <w:r w:rsidR="003A3DBC">
        <w:t>.</w:t>
      </w:r>
      <w:r w:rsidR="00071D8A" w:rsidRPr="00384A1B">
        <w:t xml:space="preserve"> d</w:t>
      </w:r>
      <w:r w:rsidR="003A3DBC">
        <w:t>.</w:t>
      </w:r>
      <w:r w:rsidR="00071D8A" w:rsidRPr="00384A1B">
        <w:t xml:space="preserve"> H</w:t>
      </w:r>
      <w:r w:rsidR="003A3DBC">
        <w:t>.</w:t>
      </w:r>
      <w:r w:rsidR="00071D8A" w:rsidRPr="00384A1B">
        <w:t xml:space="preserve"> &amp;</w:t>
      </w:r>
      <w:r w:rsidR="00EE6BDD" w:rsidRPr="00384A1B">
        <w:t xml:space="preserve"> p</w:t>
      </w:r>
      <w:r w:rsidR="003A3DBC">
        <w:t>.</w:t>
      </w:r>
      <w:r w:rsidR="00EE6BDD" w:rsidRPr="00384A1B">
        <w:t xml:space="preserve"> </w:t>
      </w:r>
      <w:r w:rsidR="00071D8A" w:rsidRPr="00384A1B">
        <w:t>d.o.o. Z</w:t>
      </w:r>
      <w:r w:rsidR="003A3DBC">
        <w:t>.</w:t>
      </w:r>
      <w:r w:rsidR="00EE6BDD" w:rsidRPr="00384A1B">
        <w:t>, protiv tuženika Đ</w:t>
      </w:r>
      <w:r w:rsidR="003A3DBC">
        <w:t>.</w:t>
      </w:r>
      <w:r w:rsidR="00EE6BDD" w:rsidRPr="00384A1B">
        <w:t xml:space="preserve"> L</w:t>
      </w:r>
      <w:r w:rsidR="003A3DBC">
        <w:t>.</w:t>
      </w:r>
      <w:r w:rsidR="00EE6BDD" w:rsidRPr="00384A1B">
        <w:t xml:space="preserve"> iz S</w:t>
      </w:r>
      <w:r w:rsidR="003A3DBC">
        <w:t>.</w:t>
      </w:r>
      <w:r w:rsidR="00EE6BDD" w:rsidRPr="00384A1B">
        <w:t xml:space="preserve">, </w:t>
      </w:r>
      <w:r w:rsidR="003A3DBC">
        <w:t>...</w:t>
      </w:r>
      <w:r w:rsidR="00C24DFD" w:rsidRPr="00384A1B">
        <w:t>, OIB</w:t>
      </w:r>
      <w:r w:rsidR="00EE6BDD" w:rsidRPr="00384A1B">
        <w:t xml:space="preserve"> </w:t>
      </w:r>
      <w:r w:rsidR="003A3DBC">
        <w:t>...</w:t>
      </w:r>
      <w:r w:rsidR="00EE6BDD" w:rsidRPr="00384A1B">
        <w:t>, radi</w:t>
      </w:r>
      <w:r w:rsidR="00C24DFD" w:rsidRPr="00384A1B">
        <w:t>:</w:t>
      </w:r>
      <w:r w:rsidR="00EE6BDD" w:rsidRPr="00384A1B">
        <w:t xml:space="preserve"> isplate,</w:t>
      </w:r>
      <w:r w:rsidR="00C24DFD" w:rsidRPr="00384A1B">
        <w:t xml:space="preserve"> </w:t>
      </w:r>
      <w:r w:rsidR="004C56D2" w:rsidRPr="00384A1B">
        <w:t>odlučujući o žalbi tuž</w:t>
      </w:r>
      <w:r w:rsidR="00045CFD" w:rsidRPr="00384A1B">
        <w:t>enika</w:t>
      </w:r>
      <w:r w:rsidR="004C56D2" w:rsidRPr="00384A1B">
        <w:t xml:space="preserve"> protiv presude Općinskog </w:t>
      </w:r>
      <w:r w:rsidR="00045CFD" w:rsidRPr="00384A1B">
        <w:t xml:space="preserve">građanskog suda </w:t>
      </w:r>
      <w:r w:rsidR="004C56D2" w:rsidRPr="00384A1B">
        <w:t xml:space="preserve">u </w:t>
      </w:r>
      <w:r w:rsidR="003A2B0A" w:rsidRPr="00384A1B">
        <w:t>Za</w:t>
      </w:r>
      <w:r w:rsidR="00045CFD" w:rsidRPr="00384A1B">
        <w:t xml:space="preserve">grebu </w:t>
      </w:r>
      <w:r w:rsidR="003A2B0A" w:rsidRPr="00384A1B">
        <w:t xml:space="preserve">poslovni broj </w:t>
      </w:r>
      <w:r w:rsidR="00045CFD" w:rsidRPr="00384A1B">
        <w:t>P-</w:t>
      </w:r>
      <w:r w:rsidR="00C24DFD" w:rsidRPr="00384A1B">
        <w:t>3247</w:t>
      </w:r>
      <w:r w:rsidR="0084724C" w:rsidRPr="00384A1B">
        <w:t>/</w:t>
      </w:r>
      <w:r w:rsidR="00C24DFD" w:rsidRPr="00384A1B">
        <w:t>2018-33</w:t>
      </w:r>
      <w:r w:rsidR="0084724C" w:rsidRPr="00384A1B">
        <w:t xml:space="preserve"> od </w:t>
      </w:r>
      <w:r w:rsidR="00C24DFD" w:rsidRPr="00384A1B">
        <w:t>19. srpnja</w:t>
      </w:r>
      <w:r w:rsidR="0084724C" w:rsidRPr="00384A1B">
        <w:t xml:space="preserve"> 2019., </w:t>
      </w:r>
      <w:r w:rsidR="00046B82" w:rsidRPr="00384A1B">
        <w:t xml:space="preserve">sjednici vijeća održanoj </w:t>
      </w:r>
      <w:r w:rsidR="00C24DFD" w:rsidRPr="00384A1B">
        <w:t>10. lipnja 2020</w:t>
      </w:r>
      <w:r w:rsidR="0084724C" w:rsidRPr="00384A1B">
        <w:t xml:space="preserve">., </w:t>
      </w:r>
    </w:p>
    <w:p w:rsidR="0084724C" w:rsidRPr="00384A1B" w:rsidRDefault="0084724C" w:rsidP="00C50E46">
      <w:pPr>
        <w:ind w:firstLine="720"/>
        <w:jc w:val="both"/>
      </w:pPr>
    </w:p>
    <w:p w:rsidR="00ED0539" w:rsidRPr="00384A1B" w:rsidRDefault="00ED0539" w:rsidP="003E0111">
      <w:pPr>
        <w:jc w:val="both"/>
      </w:pPr>
    </w:p>
    <w:p w:rsidR="009A6B4A" w:rsidRPr="00384A1B" w:rsidRDefault="00F24D9A" w:rsidP="009A6B4A">
      <w:pPr>
        <w:jc w:val="center"/>
      </w:pPr>
      <w:r w:rsidRPr="00384A1B">
        <w:t>p r e s u d i o   j e</w:t>
      </w:r>
    </w:p>
    <w:p w:rsidR="009A6B4A" w:rsidRPr="00384A1B" w:rsidRDefault="009A6B4A" w:rsidP="009A6B4A">
      <w:pPr>
        <w:jc w:val="center"/>
      </w:pPr>
    </w:p>
    <w:p w:rsidR="003F6A96" w:rsidRPr="00384A1B" w:rsidRDefault="003F6A96" w:rsidP="009A6B4A">
      <w:pPr>
        <w:jc w:val="center"/>
      </w:pPr>
    </w:p>
    <w:p w:rsidR="00FE3296" w:rsidRPr="00384A1B" w:rsidRDefault="009A6B4A" w:rsidP="009A6B4A">
      <w:pPr>
        <w:jc w:val="both"/>
      </w:pPr>
      <w:r w:rsidRPr="00384A1B">
        <w:tab/>
      </w:r>
      <w:r w:rsidR="005C132A" w:rsidRPr="00384A1B">
        <w:t>Žalba tuž</w:t>
      </w:r>
      <w:r w:rsidR="00045CFD" w:rsidRPr="00384A1B">
        <w:t>enika prihvaća</w:t>
      </w:r>
      <w:r w:rsidR="00FE3296" w:rsidRPr="00384A1B">
        <w:t xml:space="preserve"> </w:t>
      </w:r>
      <w:r w:rsidR="00C163AC" w:rsidRPr="00384A1B">
        <w:t xml:space="preserve">se kao osnovana </w:t>
      </w:r>
      <w:r w:rsidR="00FE3296" w:rsidRPr="00384A1B">
        <w:t xml:space="preserve">i presuda </w:t>
      </w:r>
      <w:r w:rsidR="00C163AC" w:rsidRPr="00384A1B">
        <w:t xml:space="preserve">Općinskog građanskog suda u Zagrebu poslovni broj P-3247/2018-33 od 19. srpnja 2019. </w:t>
      </w:r>
      <w:r w:rsidR="00FE3296" w:rsidRPr="00384A1B">
        <w:t xml:space="preserve">preinačava tako da sada glasi: </w:t>
      </w:r>
    </w:p>
    <w:p w:rsidR="00FE3296" w:rsidRPr="00384A1B" w:rsidRDefault="00FE3296" w:rsidP="009A6B4A">
      <w:pPr>
        <w:jc w:val="both"/>
      </w:pPr>
    </w:p>
    <w:p w:rsidR="00FE3296" w:rsidRPr="00384A1B" w:rsidRDefault="009730F7" w:rsidP="00694D35">
      <w:pPr>
        <w:ind w:left="705"/>
        <w:jc w:val="both"/>
      </w:pPr>
      <w:r>
        <w:t xml:space="preserve">I. </w:t>
      </w:r>
      <w:r w:rsidR="00FE3296" w:rsidRPr="00384A1B">
        <w:t xml:space="preserve">Odbija se kao neosnovan tužbeni zahtjev koji glasi: </w:t>
      </w:r>
    </w:p>
    <w:p w:rsidR="005E1FEA" w:rsidRPr="00384A1B" w:rsidRDefault="005E1FEA" w:rsidP="009A6B4A">
      <w:pPr>
        <w:jc w:val="both"/>
      </w:pPr>
    </w:p>
    <w:p w:rsidR="00913A1F" w:rsidRPr="00384A1B" w:rsidRDefault="005E1FEA" w:rsidP="00913A1F">
      <w:pPr>
        <w:ind w:firstLine="720"/>
        <w:jc w:val="both"/>
      </w:pPr>
      <w:r w:rsidRPr="00384A1B">
        <w:t>"</w:t>
      </w:r>
      <w:r w:rsidR="00913A1F" w:rsidRPr="00384A1B">
        <w:t>Nalaže se tuženiku isplatiti tužitelju iznos od 287.838,55 kn sa zateznom kamatom na pojedine iznose i to:</w:t>
      </w:r>
    </w:p>
    <w:p w:rsidR="00913A1F" w:rsidRPr="00384A1B" w:rsidRDefault="00913A1F" w:rsidP="00913A1F">
      <w:pPr>
        <w:ind w:firstLine="720"/>
        <w:jc w:val="both"/>
      </w:pPr>
      <w:r w:rsidRPr="00384A1B">
        <w:t xml:space="preserve">- na iznos od 33.834,35 kn </w:t>
      </w:r>
      <w:proofErr w:type="spellStart"/>
      <w:r w:rsidRPr="00384A1B">
        <w:t>počev</w:t>
      </w:r>
      <w:proofErr w:type="spellEnd"/>
      <w:r w:rsidRPr="00384A1B">
        <w:t xml:space="preserve"> od 10. svibnja 2011. do isplate,</w:t>
      </w:r>
    </w:p>
    <w:p w:rsidR="00913A1F" w:rsidRPr="00384A1B" w:rsidRDefault="00913A1F" w:rsidP="00913A1F">
      <w:pPr>
        <w:ind w:firstLine="720"/>
        <w:jc w:val="both"/>
      </w:pPr>
      <w:r w:rsidRPr="00384A1B">
        <w:t xml:space="preserve">- na iznos od 52.045,65 kn </w:t>
      </w:r>
      <w:proofErr w:type="spellStart"/>
      <w:r w:rsidRPr="00384A1B">
        <w:t>počev</w:t>
      </w:r>
      <w:proofErr w:type="spellEnd"/>
      <w:r w:rsidRPr="00384A1B">
        <w:t xml:space="preserve"> od 07. lipnja 2011. do isplate, </w:t>
      </w:r>
    </w:p>
    <w:p w:rsidR="00913A1F" w:rsidRPr="00384A1B" w:rsidRDefault="00913A1F" w:rsidP="00913A1F">
      <w:pPr>
        <w:ind w:firstLine="720"/>
        <w:jc w:val="both"/>
      </w:pPr>
      <w:r w:rsidRPr="00384A1B">
        <w:t xml:space="preserve">- na iznos od 200.203,16 k </w:t>
      </w:r>
      <w:proofErr w:type="spellStart"/>
      <w:r w:rsidRPr="00384A1B">
        <w:t>počev</w:t>
      </w:r>
      <w:proofErr w:type="spellEnd"/>
      <w:r w:rsidRPr="00384A1B">
        <w:t xml:space="preserve"> od 12. lipnja 2011. do isplate, te</w:t>
      </w:r>
    </w:p>
    <w:p w:rsidR="00913A1F" w:rsidRPr="00384A1B" w:rsidRDefault="00913A1F" w:rsidP="00913A1F">
      <w:pPr>
        <w:ind w:firstLine="720"/>
        <w:jc w:val="both"/>
      </w:pPr>
      <w:r w:rsidRPr="00384A1B">
        <w:t xml:space="preserve">- na iznos od 1.755,39 kn </w:t>
      </w:r>
      <w:proofErr w:type="spellStart"/>
      <w:r w:rsidRPr="00384A1B">
        <w:t>počev</w:t>
      </w:r>
      <w:proofErr w:type="spellEnd"/>
      <w:r w:rsidRPr="00384A1B">
        <w:t xml:space="preserve"> od 09. lipnja 2016. do isplate</w:t>
      </w:r>
    </w:p>
    <w:p w:rsidR="005E1FEA" w:rsidRPr="00384A1B" w:rsidRDefault="00913A1F" w:rsidP="00913A1F">
      <w:pPr>
        <w:jc w:val="both"/>
      </w:pPr>
      <w:r w:rsidRPr="00384A1B">
        <w:t xml:space="preserve">a sve to do 31. srpnja 2015. po stopi koja se određuje za svako polugodište uvećanjem eskontne stope Hrvatske narodne banke koja je vrijedila zadnjeg dana polugodišta koje je prethodilo tekućem polugodištu za pet postotnih poena, a od 01. kolovoza 2015. do isplate po stopi koja se određuje uvećanjem prosječne kamatne stope na stanje kredite odobrenih na razdoblje dulje od godinu dana ne financijskim trgovačkim društvima izračunatim za referentno razdoblje koje prethodi tekućem polugodištu za </w:t>
      </w:r>
      <w:r w:rsidR="009614CD" w:rsidRPr="00384A1B">
        <w:t>tri</w:t>
      </w:r>
      <w:r w:rsidRPr="00384A1B">
        <w:t xml:space="preserve"> postotna poena, kao i trošak parničnog postupka u iznosu od 53.786,00 kn sa zakonskom zateznom kamatom po stopi koja se određuje uvećanjem prosječne kamatne stope na stanje kredite odobrenih na razdoblje dulje od godinu dana ne financijskim trgovačkim društvima izračunatim za referentno razdoblje koje prethodi tekućem polugodištu za </w:t>
      </w:r>
      <w:r w:rsidR="009614CD" w:rsidRPr="00384A1B">
        <w:t>tri</w:t>
      </w:r>
      <w:r w:rsidRPr="00384A1B">
        <w:t xml:space="preserve"> postotna poena </w:t>
      </w:r>
      <w:proofErr w:type="spellStart"/>
      <w:r w:rsidRPr="00384A1B">
        <w:t>počev</w:t>
      </w:r>
      <w:proofErr w:type="spellEnd"/>
      <w:r w:rsidRPr="00384A1B">
        <w:t xml:space="preserve"> od 19. srpnja 2019. do isplate, a u roku od 15 dana.</w:t>
      </w:r>
      <w:r w:rsidR="005E1FEA" w:rsidRPr="00384A1B">
        <w:t>"</w:t>
      </w:r>
    </w:p>
    <w:p w:rsidR="005E1FEA" w:rsidRPr="00384A1B" w:rsidRDefault="005E1FEA" w:rsidP="005E1FEA">
      <w:pPr>
        <w:pStyle w:val="Odlomakpopisa"/>
        <w:ind w:left="0"/>
        <w:jc w:val="both"/>
      </w:pPr>
    </w:p>
    <w:p w:rsidR="00194D77" w:rsidRDefault="009730F7" w:rsidP="005E1FEA">
      <w:pPr>
        <w:pStyle w:val="Odlomakpopisa"/>
        <w:ind w:left="0"/>
        <w:jc w:val="both"/>
      </w:pPr>
      <w:r>
        <w:lastRenderedPageBreak/>
        <w:tab/>
        <w:t xml:space="preserve">II. Nalaže se </w:t>
      </w:r>
      <w:r w:rsidRPr="00384A1B">
        <w:t>t</w:t>
      </w:r>
      <w:r>
        <w:t>užitelju</w:t>
      </w:r>
      <w:r w:rsidRPr="00384A1B">
        <w:t xml:space="preserve"> E</w:t>
      </w:r>
      <w:r w:rsidR="00D6707F">
        <w:t>.</w:t>
      </w:r>
      <w:r w:rsidRPr="00384A1B">
        <w:t xml:space="preserve"> C</w:t>
      </w:r>
      <w:r w:rsidR="00D6707F">
        <w:t>.</w:t>
      </w:r>
      <w:r w:rsidRPr="00384A1B">
        <w:t xml:space="preserve"> C</w:t>
      </w:r>
      <w:r w:rsidR="00D6707F">
        <w:t>.</w:t>
      </w:r>
      <w:r w:rsidRPr="00384A1B">
        <w:t xml:space="preserve"> d.o.o. Z</w:t>
      </w:r>
      <w:r w:rsidR="00D6707F">
        <w:t>.</w:t>
      </w:r>
      <w:r w:rsidRPr="00384A1B">
        <w:t xml:space="preserve">, </w:t>
      </w:r>
      <w:r w:rsidR="00D6707F">
        <w:t>...</w:t>
      </w:r>
      <w:r w:rsidRPr="00384A1B">
        <w:t xml:space="preserve">, OIB </w:t>
      </w:r>
      <w:r w:rsidR="00D6707F">
        <w:t>...</w:t>
      </w:r>
      <w:r w:rsidRPr="00384A1B">
        <w:t>,</w:t>
      </w:r>
      <w:r>
        <w:t xml:space="preserve"> da tuženiku Đ</w:t>
      </w:r>
      <w:r w:rsidR="00D6707F">
        <w:t>.</w:t>
      </w:r>
      <w:r>
        <w:t xml:space="preserve"> L</w:t>
      </w:r>
      <w:r w:rsidR="00D6707F">
        <w:t>.</w:t>
      </w:r>
      <w:r w:rsidRPr="00384A1B">
        <w:t xml:space="preserve"> iz S</w:t>
      </w:r>
      <w:r w:rsidR="00D6707F">
        <w:t>.</w:t>
      </w:r>
      <w:r w:rsidRPr="00384A1B">
        <w:t xml:space="preserve">, </w:t>
      </w:r>
      <w:r w:rsidR="00D6707F">
        <w:t>...</w:t>
      </w:r>
      <w:r w:rsidRPr="00384A1B">
        <w:t xml:space="preserve">, OIB </w:t>
      </w:r>
      <w:r w:rsidR="00D6707F">
        <w:t>...</w:t>
      </w:r>
      <w:r w:rsidRPr="00384A1B">
        <w:t>,</w:t>
      </w:r>
      <w:r>
        <w:t xml:space="preserve"> plati trošak parničnog postupka u iznosu od 13.184,00 kn u roku od 15 dana.</w:t>
      </w:r>
    </w:p>
    <w:p w:rsidR="009730F7" w:rsidRDefault="009730F7" w:rsidP="005E1FEA">
      <w:pPr>
        <w:pStyle w:val="Odlomakpopisa"/>
        <w:ind w:left="0"/>
        <w:jc w:val="both"/>
      </w:pPr>
    </w:p>
    <w:p w:rsidR="009730F7" w:rsidRPr="00384A1B" w:rsidRDefault="009730F7" w:rsidP="005E1FEA">
      <w:pPr>
        <w:pStyle w:val="Odlomakpopisa"/>
        <w:ind w:left="0"/>
        <w:jc w:val="both"/>
      </w:pPr>
    </w:p>
    <w:p w:rsidR="003E0111" w:rsidRPr="00384A1B" w:rsidRDefault="003E0111" w:rsidP="003E0111">
      <w:pPr>
        <w:jc w:val="center"/>
      </w:pPr>
      <w:r w:rsidRPr="00384A1B">
        <w:t>Obrazloženje</w:t>
      </w:r>
    </w:p>
    <w:p w:rsidR="003F6A96" w:rsidRPr="00384A1B" w:rsidRDefault="003F6A96" w:rsidP="003E0111"/>
    <w:p w:rsidR="00194D77" w:rsidRPr="00384A1B" w:rsidRDefault="00194D77" w:rsidP="003E0111"/>
    <w:p w:rsidR="00FE3296" w:rsidRPr="00384A1B" w:rsidRDefault="000E3920" w:rsidP="003E0111">
      <w:r w:rsidRPr="00384A1B">
        <w:tab/>
      </w:r>
      <w:r w:rsidR="0072175B" w:rsidRPr="00384A1B">
        <w:t xml:space="preserve">Presudom suda prvog stupnja </w:t>
      </w:r>
      <w:r w:rsidR="00FE3296" w:rsidRPr="00384A1B">
        <w:t>suđeno je:</w:t>
      </w:r>
    </w:p>
    <w:p w:rsidR="00493198" w:rsidRPr="00384A1B" w:rsidRDefault="00FE3296" w:rsidP="003E0111">
      <w:pPr>
        <w:rPr>
          <w:b/>
        </w:rPr>
      </w:pPr>
      <w:r w:rsidRPr="00384A1B">
        <w:rPr>
          <w:b/>
        </w:rPr>
        <w:t xml:space="preserve"> </w:t>
      </w:r>
    </w:p>
    <w:p w:rsidR="000E7CC3" w:rsidRPr="00384A1B" w:rsidRDefault="009A6B4A" w:rsidP="000E7CC3">
      <w:pPr>
        <w:ind w:firstLine="720"/>
        <w:jc w:val="both"/>
      </w:pPr>
      <w:r w:rsidRPr="00384A1B">
        <w:t>"</w:t>
      </w:r>
      <w:r w:rsidR="000E7CC3" w:rsidRPr="00384A1B">
        <w:t>I./ Nalaže se tuženiku isplatiti tužitelju iznos od 287.838,55 kn sa zateznom kamatom na pojedine iznose i to:</w:t>
      </w:r>
    </w:p>
    <w:p w:rsidR="000E7CC3" w:rsidRPr="00384A1B" w:rsidRDefault="000E7CC3" w:rsidP="000E7CC3">
      <w:pPr>
        <w:ind w:firstLine="720"/>
        <w:jc w:val="both"/>
      </w:pPr>
      <w:r w:rsidRPr="00384A1B">
        <w:t xml:space="preserve">- na iznos od 33.834,35 kn </w:t>
      </w:r>
      <w:proofErr w:type="spellStart"/>
      <w:r w:rsidRPr="00384A1B">
        <w:t>počev</w:t>
      </w:r>
      <w:proofErr w:type="spellEnd"/>
      <w:r w:rsidRPr="00384A1B">
        <w:t xml:space="preserve"> od 10. svibnja 2011. do isplate,</w:t>
      </w:r>
    </w:p>
    <w:p w:rsidR="000E7CC3" w:rsidRPr="00384A1B" w:rsidRDefault="000E7CC3" w:rsidP="000E7CC3">
      <w:pPr>
        <w:ind w:firstLine="720"/>
        <w:jc w:val="both"/>
      </w:pPr>
      <w:r w:rsidRPr="00384A1B">
        <w:t xml:space="preserve">- na iznos od 52.045,65 kn </w:t>
      </w:r>
      <w:proofErr w:type="spellStart"/>
      <w:r w:rsidRPr="00384A1B">
        <w:t>počev</w:t>
      </w:r>
      <w:proofErr w:type="spellEnd"/>
      <w:r w:rsidRPr="00384A1B">
        <w:t xml:space="preserve"> od 07. lipnja 2011. do isplate, </w:t>
      </w:r>
    </w:p>
    <w:p w:rsidR="000E7CC3" w:rsidRPr="00384A1B" w:rsidRDefault="000E7CC3" w:rsidP="000E7CC3">
      <w:pPr>
        <w:ind w:firstLine="720"/>
        <w:jc w:val="both"/>
      </w:pPr>
      <w:r w:rsidRPr="00384A1B">
        <w:t xml:space="preserve">- na iznos od 200.203,16 k </w:t>
      </w:r>
      <w:proofErr w:type="spellStart"/>
      <w:r w:rsidRPr="00384A1B">
        <w:t>počev</w:t>
      </w:r>
      <w:proofErr w:type="spellEnd"/>
      <w:r w:rsidRPr="00384A1B">
        <w:t xml:space="preserve"> od 12. lipnja 2011. do isplate, te</w:t>
      </w:r>
    </w:p>
    <w:p w:rsidR="000E7CC3" w:rsidRPr="00384A1B" w:rsidRDefault="000E7CC3" w:rsidP="000E7CC3">
      <w:pPr>
        <w:ind w:firstLine="720"/>
        <w:jc w:val="both"/>
      </w:pPr>
      <w:r w:rsidRPr="00384A1B">
        <w:t xml:space="preserve">- na iznos od 1.755,39 kn </w:t>
      </w:r>
      <w:proofErr w:type="spellStart"/>
      <w:r w:rsidRPr="00384A1B">
        <w:t>počev</w:t>
      </w:r>
      <w:proofErr w:type="spellEnd"/>
      <w:r w:rsidRPr="00384A1B">
        <w:t xml:space="preserve"> od 09. lipnja 2016. do isplate</w:t>
      </w:r>
    </w:p>
    <w:p w:rsidR="000E7CC3" w:rsidRPr="00384A1B" w:rsidRDefault="000E7CC3" w:rsidP="000E7CC3">
      <w:pPr>
        <w:jc w:val="both"/>
      </w:pPr>
      <w:r w:rsidRPr="00384A1B">
        <w:t xml:space="preserve">a sve to do 31. srpnja 2015. po stopi koja se određuje za svako polugodište uvećanjem eskontne stope Hrvatske narodne banke koja je vrijedila zadnjeg dana polugodišta koje je prethodilo tekućem polugodištu za pet postotnih poena, a od 01. kolovoza 2015. do isplate po stopi koja se određuje uvećanjem prosječne kamatne stope na stanje kredite odobrenih na razdoblje dulje od godinu dana ne financijskim trgovačkim društvima izračunatim za referentno razdoblje koje prethodi tekućem polugodištu za 3 postotna poena, kao i trošak parničnog postupka u iznosu od 53.786,00 kn sa zakonskom zateznom kamatom po stopi koja se određuje uvećanjem prosječne kamatne stope na stanje kredite odobrenih na razdoblje dulje od godinu dana ne financijskim trgovačkim društvima izračunatim za referentno razdoblje koje prethodi tekućem polugodištu za 3 postotna poena </w:t>
      </w:r>
      <w:proofErr w:type="spellStart"/>
      <w:r w:rsidRPr="00384A1B">
        <w:t>počev</w:t>
      </w:r>
      <w:proofErr w:type="spellEnd"/>
      <w:r w:rsidRPr="00384A1B">
        <w:t xml:space="preserve"> od 19. srpnja 2019. do isplate, a u roku od 15 dana.</w:t>
      </w:r>
    </w:p>
    <w:p w:rsidR="000E7CC3" w:rsidRPr="00384A1B" w:rsidRDefault="000E7CC3" w:rsidP="000E7CC3">
      <w:pPr>
        <w:jc w:val="both"/>
      </w:pPr>
    </w:p>
    <w:p w:rsidR="009A6B4A" w:rsidRPr="00384A1B" w:rsidRDefault="000E7CC3" w:rsidP="000E7CC3">
      <w:pPr>
        <w:jc w:val="both"/>
      </w:pPr>
      <w:r w:rsidRPr="00384A1B">
        <w:tab/>
        <w:t>II./ Odbija se tuženik sa zahtjevom za naknadu parničnog troška u cijelosti.</w:t>
      </w:r>
      <w:r w:rsidR="009A6B4A" w:rsidRPr="00384A1B">
        <w:t xml:space="preserve">" </w:t>
      </w:r>
    </w:p>
    <w:p w:rsidR="00AE5A0D" w:rsidRPr="00384A1B" w:rsidRDefault="00AE5A0D" w:rsidP="00B63C5F">
      <w:pPr>
        <w:jc w:val="both"/>
      </w:pPr>
    </w:p>
    <w:p w:rsidR="00735252" w:rsidRDefault="00B629C1" w:rsidP="00735252">
      <w:pPr>
        <w:ind w:firstLine="708"/>
        <w:jc w:val="both"/>
      </w:pPr>
      <w:r w:rsidRPr="00384A1B">
        <w:t xml:space="preserve">Ovu presudu </w:t>
      </w:r>
      <w:r w:rsidR="00487FC9" w:rsidRPr="00384A1B">
        <w:t>suda prvog stupnja</w:t>
      </w:r>
      <w:r w:rsidR="00206FE3" w:rsidRPr="00384A1B">
        <w:t xml:space="preserve"> pravovremeno </w:t>
      </w:r>
      <w:r w:rsidR="00EE6D05" w:rsidRPr="00384A1B">
        <w:t>podnesenom žalbom pobija tuž</w:t>
      </w:r>
      <w:r w:rsidR="00051EFB" w:rsidRPr="00384A1B">
        <w:t xml:space="preserve">enik </w:t>
      </w:r>
      <w:r w:rsidR="00EE6D05" w:rsidRPr="00384A1B">
        <w:t xml:space="preserve"> </w:t>
      </w:r>
      <w:r w:rsidR="005244E2" w:rsidRPr="00384A1B">
        <w:t xml:space="preserve">zbog </w:t>
      </w:r>
      <w:r w:rsidR="00735252">
        <w:t xml:space="preserve">razloga iz čl. 353. st. 1. </w:t>
      </w:r>
      <w:r w:rsidR="00674307" w:rsidRPr="00384A1B">
        <w:t>Zakona o parničnom postupku („Narodne novine” broj 53/91., 91/92., 112/99., 88/01., 117/03., 88/05., 2/07., 84/08., 96/08., 123/08., 57/11., 148/11. – pročišćeni tekst, 25/13., 28/13., 89/14. i 70/19., u daljnjem tekstu: ZPP)</w:t>
      </w:r>
      <w:r w:rsidR="00735252">
        <w:t xml:space="preserve">, s prijedlogom da se ukine, </w:t>
      </w:r>
      <w:proofErr w:type="spellStart"/>
      <w:r w:rsidR="00735252">
        <w:t>podredno</w:t>
      </w:r>
      <w:proofErr w:type="spellEnd"/>
      <w:r w:rsidR="00735252">
        <w:t xml:space="preserve"> preinači i </w:t>
      </w:r>
      <w:r w:rsidR="00051EFB" w:rsidRPr="00384A1B">
        <w:t xml:space="preserve"> </w:t>
      </w:r>
      <w:r w:rsidR="00735252">
        <w:t>t</w:t>
      </w:r>
      <w:r w:rsidR="00051EFB" w:rsidRPr="00384A1B">
        <w:t>užbeni zahtjev odbije kao neosnovan</w:t>
      </w:r>
      <w:r w:rsidR="00735252">
        <w:t>.</w:t>
      </w:r>
    </w:p>
    <w:p w:rsidR="00735252" w:rsidRDefault="00735252" w:rsidP="00735252">
      <w:pPr>
        <w:ind w:firstLine="708"/>
        <w:jc w:val="both"/>
      </w:pPr>
    </w:p>
    <w:p w:rsidR="00EE6D05" w:rsidRPr="00384A1B" w:rsidRDefault="00EE6D05" w:rsidP="00EE6D05">
      <w:pPr>
        <w:ind w:firstLine="708"/>
        <w:jc w:val="both"/>
      </w:pPr>
      <w:r w:rsidRPr="00384A1B">
        <w:t xml:space="preserve">Odgovor na žalbu nije podnesen. </w:t>
      </w:r>
    </w:p>
    <w:p w:rsidR="00EE6D05" w:rsidRPr="00384A1B" w:rsidRDefault="00EE6D05" w:rsidP="00EE6D05">
      <w:pPr>
        <w:ind w:firstLine="708"/>
        <w:jc w:val="both"/>
      </w:pPr>
    </w:p>
    <w:p w:rsidR="00EE6D05" w:rsidRPr="00384A1B" w:rsidRDefault="00EE6D05" w:rsidP="00EE6D05">
      <w:pPr>
        <w:ind w:firstLine="708"/>
        <w:jc w:val="both"/>
      </w:pPr>
      <w:r w:rsidRPr="00384A1B">
        <w:t>Žalba je osnovana</w:t>
      </w:r>
      <w:r w:rsidR="00581395">
        <w:t>.</w:t>
      </w:r>
      <w:r w:rsidRPr="00384A1B">
        <w:t xml:space="preserve"> </w:t>
      </w:r>
    </w:p>
    <w:p w:rsidR="00051EFB" w:rsidRPr="00384A1B" w:rsidRDefault="00051EFB" w:rsidP="00EE6D05">
      <w:pPr>
        <w:ind w:firstLine="708"/>
        <w:jc w:val="both"/>
      </w:pPr>
    </w:p>
    <w:p w:rsidR="00735252" w:rsidRDefault="00EE6D05" w:rsidP="00EE6D05">
      <w:pPr>
        <w:ind w:firstLine="720"/>
        <w:jc w:val="both"/>
      </w:pPr>
      <w:r w:rsidRPr="00384A1B">
        <w:t>Ispitujući presudu</w:t>
      </w:r>
      <w:r w:rsidR="00604DCD" w:rsidRPr="00384A1B">
        <w:t xml:space="preserve"> suda prvog stupnja</w:t>
      </w:r>
      <w:r w:rsidR="00461E68" w:rsidRPr="00384A1B">
        <w:t xml:space="preserve">, </w:t>
      </w:r>
      <w:r w:rsidRPr="00384A1B">
        <w:t>postupak koji je prethodio, kao i žalbene navode tuž</w:t>
      </w:r>
      <w:r w:rsidR="002F3874" w:rsidRPr="00384A1B">
        <w:t>enika</w:t>
      </w:r>
      <w:r w:rsidRPr="00384A1B">
        <w:t xml:space="preserve">, ovaj sud </w:t>
      </w:r>
      <w:r w:rsidR="00D974A3" w:rsidRPr="00384A1B">
        <w:t xml:space="preserve">je </w:t>
      </w:r>
      <w:r w:rsidR="00674307" w:rsidRPr="00384A1B">
        <w:t>utvrd</w:t>
      </w:r>
      <w:r w:rsidRPr="00384A1B">
        <w:t xml:space="preserve">io </w:t>
      </w:r>
      <w:r w:rsidR="00674307" w:rsidRPr="00384A1B">
        <w:t xml:space="preserve">da sud prvog stupnja nije počinio </w:t>
      </w:r>
      <w:r w:rsidRPr="00384A1B">
        <w:t>bitn</w:t>
      </w:r>
      <w:r w:rsidR="00732EB9" w:rsidRPr="00384A1B">
        <w:t>e</w:t>
      </w:r>
      <w:r w:rsidRPr="00384A1B">
        <w:t xml:space="preserve"> povred</w:t>
      </w:r>
      <w:r w:rsidR="00732EB9" w:rsidRPr="00384A1B">
        <w:t>e</w:t>
      </w:r>
      <w:r w:rsidRPr="00384A1B">
        <w:t xml:space="preserve"> odredbi parničnog postupka iz čl. </w:t>
      </w:r>
      <w:smartTag w:uri="urn:schemas-microsoft-com:office:smarttags" w:element="metricconverter">
        <w:smartTagPr>
          <w:attr w:name="ProductID" w:val="354. st"/>
        </w:smartTagPr>
        <w:r w:rsidRPr="00384A1B">
          <w:t>354. st</w:t>
        </w:r>
      </w:smartTag>
      <w:r w:rsidRPr="00384A1B">
        <w:t>. 2.</w:t>
      </w:r>
      <w:r w:rsidR="00604DCD" w:rsidRPr="00384A1B">
        <w:t xml:space="preserve"> ZPP-a </w:t>
      </w:r>
      <w:r w:rsidRPr="00384A1B">
        <w:t>na koj</w:t>
      </w:r>
      <w:r w:rsidR="00732EB9" w:rsidRPr="00384A1B">
        <w:t xml:space="preserve">e pazi </w:t>
      </w:r>
      <w:r w:rsidRPr="00384A1B">
        <w:t xml:space="preserve">na temelju odredbe čl. </w:t>
      </w:r>
      <w:smartTag w:uri="urn:schemas-microsoft-com:office:smarttags" w:element="metricconverter">
        <w:smartTagPr>
          <w:attr w:name="ProductID" w:val="365. st"/>
        </w:smartTagPr>
        <w:r w:rsidRPr="00384A1B">
          <w:t>365. st</w:t>
        </w:r>
      </w:smartTag>
      <w:r w:rsidR="00735252">
        <w:t>. 2. ZPP</w:t>
      </w:r>
      <w:r w:rsidR="00581395">
        <w:t>-a, ali je pogrešno primijenio materijalno pravo odnosno pogrešno je odlučio o istaknutom prigovoru zastare.</w:t>
      </w:r>
    </w:p>
    <w:p w:rsidR="00B80CCE" w:rsidRDefault="00B80CCE" w:rsidP="00EE6D05">
      <w:pPr>
        <w:ind w:firstLine="720"/>
        <w:jc w:val="both"/>
      </w:pPr>
    </w:p>
    <w:p w:rsidR="00BF2C28" w:rsidRPr="00384A1B" w:rsidRDefault="00BF2C28" w:rsidP="00EE6D05">
      <w:pPr>
        <w:ind w:firstLine="720"/>
        <w:jc w:val="both"/>
      </w:pPr>
      <w:r w:rsidRPr="00384A1B">
        <w:t xml:space="preserve">Predmet spora je zahtjev tužitelja protiv tuženika kao </w:t>
      </w:r>
      <w:r w:rsidR="00EA3418" w:rsidRPr="00384A1B">
        <w:t xml:space="preserve">solidarnog dužnika </w:t>
      </w:r>
      <w:r w:rsidR="00735252">
        <w:t>–</w:t>
      </w:r>
      <w:r w:rsidR="00EA3418" w:rsidRPr="00384A1B">
        <w:t xml:space="preserve"> </w:t>
      </w:r>
      <w:r w:rsidRPr="00384A1B">
        <w:t>jamca</w:t>
      </w:r>
      <w:r w:rsidR="00735252">
        <w:t xml:space="preserve"> platca</w:t>
      </w:r>
      <w:r w:rsidRPr="00384A1B">
        <w:t xml:space="preserve"> i korisnika Diners </w:t>
      </w:r>
      <w:proofErr w:type="spellStart"/>
      <w:r w:rsidRPr="00384A1B">
        <w:t>Club</w:t>
      </w:r>
      <w:proofErr w:type="spellEnd"/>
      <w:r w:rsidRPr="00384A1B">
        <w:t xml:space="preserve"> </w:t>
      </w:r>
      <w:proofErr w:type="spellStart"/>
      <w:r w:rsidR="00581395">
        <w:t>Business</w:t>
      </w:r>
      <w:proofErr w:type="spellEnd"/>
      <w:r w:rsidRPr="00384A1B">
        <w:t xml:space="preserve"> kartice trgovačkog društva </w:t>
      </w:r>
      <w:r w:rsidR="00581395">
        <w:t>S</w:t>
      </w:r>
      <w:r w:rsidR="00E24FED">
        <w:t>.</w:t>
      </w:r>
      <w:r w:rsidR="00581395">
        <w:t xml:space="preserve"> d.o.o. M</w:t>
      </w:r>
      <w:r w:rsidR="00E24FED">
        <w:t>.</w:t>
      </w:r>
      <w:r w:rsidRPr="00384A1B">
        <w:t>, za neplaćeni dug po navedenoj kartici.</w:t>
      </w:r>
    </w:p>
    <w:p w:rsidR="00BF2C28" w:rsidRPr="00384A1B" w:rsidRDefault="00BF2C28" w:rsidP="00EE6D05">
      <w:pPr>
        <w:jc w:val="both"/>
      </w:pPr>
    </w:p>
    <w:p w:rsidR="00C8604A" w:rsidRDefault="005F2632" w:rsidP="005F2632">
      <w:pPr>
        <w:jc w:val="both"/>
      </w:pPr>
      <w:r w:rsidRPr="00384A1B">
        <w:lastRenderedPageBreak/>
        <w:tab/>
        <w:t xml:space="preserve">Sud prvog stupnja na temelju provedenog dokaznog postupka  utvrdio je da je tužitelj izdao Diners </w:t>
      </w:r>
      <w:proofErr w:type="spellStart"/>
      <w:r w:rsidRPr="00384A1B">
        <w:t>Club</w:t>
      </w:r>
      <w:proofErr w:type="spellEnd"/>
      <w:r w:rsidRPr="00384A1B">
        <w:t xml:space="preserve"> </w:t>
      </w:r>
      <w:proofErr w:type="spellStart"/>
      <w:r w:rsidR="00581395">
        <w:t>Business</w:t>
      </w:r>
      <w:proofErr w:type="spellEnd"/>
      <w:r w:rsidR="00581395">
        <w:t xml:space="preserve"> karticu, p</w:t>
      </w:r>
      <w:r w:rsidRPr="00384A1B">
        <w:t xml:space="preserve">oslovnom klijentu </w:t>
      </w:r>
      <w:r w:rsidR="00581395">
        <w:t>S</w:t>
      </w:r>
      <w:r w:rsidR="007337E1">
        <w:t>.</w:t>
      </w:r>
      <w:r w:rsidR="00581395">
        <w:t xml:space="preserve"> d.o.o. M</w:t>
      </w:r>
      <w:r w:rsidR="007337E1">
        <w:t>.</w:t>
      </w:r>
      <w:r w:rsidR="00581395">
        <w:t xml:space="preserve">, </w:t>
      </w:r>
      <w:r w:rsidR="007337E1">
        <w:t>...</w:t>
      </w:r>
      <w:r w:rsidR="00581395">
        <w:t>, te da je tuženik bio osoba ovlaštena za zastupanje trgovačkog društva S</w:t>
      </w:r>
      <w:r w:rsidR="007337E1">
        <w:t>.</w:t>
      </w:r>
      <w:r w:rsidR="00581395">
        <w:t xml:space="preserve"> d.o.o. M</w:t>
      </w:r>
      <w:r w:rsidR="007337E1">
        <w:t>.</w:t>
      </w:r>
      <w:r w:rsidR="00581395">
        <w:t xml:space="preserve"> i </w:t>
      </w:r>
      <w:r w:rsidRPr="00384A1B">
        <w:t xml:space="preserve">korisnik predmetne Diners </w:t>
      </w:r>
      <w:proofErr w:type="spellStart"/>
      <w:r w:rsidR="00C8604A">
        <w:t>Business</w:t>
      </w:r>
      <w:proofErr w:type="spellEnd"/>
      <w:r w:rsidR="00C8604A">
        <w:t>/</w:t>
      </w:r>
      <w:proofErr w:type="spellStart"/>
      <w:r w:rsidR="00C8604A">
        <w:t>Corporate</w:t>
      </w:r>
      <w:proofErr w:type="spellEnd"/>
      <w:r w:rsidR="00C8604A">
        <w:t xml:space="preserve"> </w:t>
      </w:r>
      <w:r w:rsidRPr="00384A1B">
        <w:t xml:space="preserve">kartice. </w:t>
      </w:r>
    </w:p>
    <w:p w:rsidR="00C8604A" w:rsidRDefault="00C8604A" w:rsidP="005F2632">
      <w:pPr>
        <w:jc w:val="both"/>
      </w:pPr>
    </w:p>
    <w:p w:rsidR="005F2632" w:rsidRPr="00384A1B" w:rsidRDefault="00B257B2" w:rsidP="00C8604A">
      <w:pPr>
        <w:ind w:firstLine="709"/>
        <w:jc w:val="both"/>
      </w:pPr>
      <w:r w:rsidRPr="00384A1B">
        <w:t>N</w:t>
      </w:r>
      <w:r w:rsidR="005F2632" w:rsidRPr="00384A1B">
        <w:t xml:space="preserve">adalje je utvrđeno u postupku pred sudom prvog stupnja da je tuženik potpisom </w:t>
      </w:r>
      <w:r w:rsidR="00C8604A">
        <w:t xml:space="preserve">Pristupnice </w:t>
      </w:r>
      <w:r w:rsidR="005F2632" w:rsidRPr="00384A1B">
        <w:t xml:space="preserve">za izdavanje </w:t>
      </w:r>
      <w:proofErr w:type="spellStart"/>
      <w:r w:rsidR="00C8604A">
        <w:t>Business</w:t>
      </w:r>
      <w:proofErr w:type="spellEnd"/>
      <w:r w:rsidR="00C8604A">
        <w:t>/</w:t>
      </w:r>
      <w:proofErr w:type="spellStart"/>
      <w:r w:rsidR="00C8604A">
        <w:t>Corporate</w:t>
      </w:r>
      <w:proofErr w:type="spellEnd"/>
      <w:r w:rsidR="00C8604A">
        <w:t xml:space="preserve"> kartice </w:t>
      </w:r>
      <w:r w:rsidR="005F2632" w:rsidRPr="00384A1B">
        <w:t>prihvatio Pravila i uvjete za članstvo</w:t>
      </w:r>
      <w:r w:rsidRPr="00384A1B">
        <w:t xml:space="preserve"> </w:t>
      </w:r>
      <w:r w:rsidR="00C8604A">
        <w:t xml:space="preserve">u Diners </w:t>
      </w:r>
      <w:proofErr w:type="spellStart"/>
      <w:r w:rsidR="00C8604A">
        <w:t>clubu</w:t>
      </w:r>
      <w:proofErr w:type="spellEnd"/>
      <w:r w:rsidR="00C8604A">
        <w:t xml:space="preserve"> </w:t>
      </w:r>
      <w:r w:rsidRPr="00384A1B">
        <w:t>(u daljnjem tekstu: Pravila)</w:t>
      </w:r>
      <w:r w:rsidR="00005F63" w:rsidRPr="00384A1B">
        <w:t xml:space="preserve">, </w:t>
      </w:r>
      <w:r w:rsidRPr="00384A1B">
        <w:t xml:space="preserve">a </w:t>
      </w:r>
      <w:proofErr w:type="spellStart"/>
      <w:r w:rsidR="005F2632" w:rsidRPr="00384A1B">
        <w:t>toč</w:t>
      </w:r>
      <w:proofErr w:type="spellEnd"/>
      <w:r w:rsidR="005F2632" w:rsidRPr="00384A1B">
        <w:t>. 5.</w:t>
      </w:r>
      <w:r w:rsidR="00C8604A">
        <w:t>3</w:t>
      </w:r>
      <w:r w:rsidR="005F2632" w:rsidRPr="00384A1B">
        <w:t xml:space="preserve">. Pravila </w:t>
      </w:r>
      <w:r w:rsidR="00170546">
        <w:t xml:space="preserve">propisano je da je poslovni član na čiji je zahtjev izdana Diners </w:t>
      </w:r>
      <w:proofErr w:type="spellStart"/>
      <w:r w:rsidR="00170546">
        <w:t>corporate</w:t>
      </w:r>
      <w:proofErr w:type="spellEnd"/>
      <w:r w:rsidR="00170546">
        <w:t xml:space="preserve"> kartica, odgovoran za obveze nastale njezinim izdavanjem i korištenjem dok za obveze nastale izdavanjem i korištenjem Diners </w:t>
      </w:r>
      <w:proofErr w:type="spellStart"/>
      <w:r w:rsidR="00170546">
        <w:t>business</w:t>
      </w:r>
      <w:proofErr w:type="spellEnd"/>
      <w:r w:rsidR="00170546">
        <w:t xml:space="preserve"> kartice odgovara poslovni član na čiji je zahtjev izdana, te solidarno sa njim i poslovni korisnik koji koristi tu Diners </w:t>
      </w:r>
      <w:proofErr w:type="spellStart"/>
      <w:r w:rsidR="00170546">
        <w:t>Business</w:t>
      </w:r>
      <w:proofErr w:type="spellEnd"/>
      <w:r w:rsidR="00170546">
        <w:t xml:space="preserve"> karticu., te da to </w:t>
      </w:r>
      <w:r w:rsidRPr="00384A1B">
        <w:t>k</w:t>
      </w:r>
      <w:r w:rsidR="005F2632" w:rsidRPr="00384A1B">
        <w:t>onkretno znači da tuženik, solidarno s</w:t>
      </w:r>
      <w:r w:rsidRPr="00384A1B">
        <w:t xml:space="preserve">a trgovačkim društvom </w:t>
      </w:r>
      <w:r w:rsidR="00170546">
        <w:t>S</w:t>
      </w:r>
      <w:r w:rsidR="007337E1">
        <w:t>.</w:t>
      </w:r>
      <w:r w:rsidR="00170546">
        <w:t xml:space="preserve"> d.o.o. M</w:t>
      </w:r>
      <w:r w:rsidR="007337E1">
        <w:t>.</w:t>
      </w:r>
      <w:r w:rsidRPr="00384A1B">
        <w:t xml:space="preserve"> </w:t>
      </w:r>
      <w:r w:rsidR="005F2632" w:rsidRPr="00384A1B">
        <w:t xml:space="preserve">odgovara za ispunjenje tužiteljeve tražbine s osnove troškova Diners </w:t>
      </w:r>
      <w:proofErr w:type="spellStart"/>
      <w:r w:rsidR="00170546">
        <w:t>Club</w:t>
      </w:r>
      <w:proofErr w:type="spellEnd"/>
      <w:r w:rsidR="00170546">
        <w:t xml:space="preserve"> </w:t>
      </w:r>
      <w:proofErr w:type="spellStart"/>
      <w:r w:rsidR="00170546">
        <w:t>Business</w:t>
      </w:r>
      <w:proofErr w:type="spellEnd"/>
      <w:r w:rsidR="00170546">
        <w:t xml:space="preserve"> </w:t>
      </w:r>
      <w:r w:rsidR="005F2632" w:rsidRPr="00384A1B">
        <w:t xml:space="preserve">kartice. </w:t>
      </w:r>
    </w:p>
    <w:p w:rsidR="00B8196B" w:rsidRDefault="00B8196B" w:rsidP="00EA3418">
      <w:pPr>
        <w:autoSpaceDE w:val="0"/>
        <w:autoSpaceDN w:val="0"/>
        <w:adjustRightInd w:val="0"/>
        <w:rPr>
          <w:lang w:eastAsia="hr-HR"/>
        </w:rPr>
      </w:pPr>
    </w:p>
    <w:p w:rsidR="007A716D" w:rsidRDefault="007A716D" w:rsidP="007A716D">
      <w:pPr>
        <w:autoSpaceDE w:val="0"/>
        <w:autoSpaceDN w:val="0"/>
        <w:adjustRightInd w:val="0"/>
        <w:ind w:firstLine="709"/>
        <w:jc w:val="both"/>
        <w:rPr>
          <w:lang w:eastAsia="hr-HR"/>
        </w:rPr>
      </w:pPr>
      <w:r>
        <w:rPr>
          <w:lang w:eastAsia="hr-HR"/>
        </w:rPr>
        <w:t xml:space="preserve">Sud prvog stupnja utvrdio je i to da utužena tražbina nije nastala korištenjem predmetne kartice od strane tuženika, već da je riječ o tražbini iz Ugovora o zajmu broj </w:t>
      </w:r>
      <w:r w:rsidR="000D15B8">
        <w:rPr>
          <w:lang w:eastAsia="hr-HR"/>
        </w:rPr>
        <w:t>...</w:t>
      </w:r>
      <w:r>
        <w:rPr>
          <w:lang w:eastAsia="hr-HR"/>
        </w:rPr>
        <w:t xml:space="preserve"> kojega je tuženik potpisao kao direktor trgovačkog društva S</w:t>
      </w:r>
      <w:r w:rsidR="000D15B8">
        <w:rPr>
          <w:lang w:eastAsia="hr-HR"/>
        </w:rPr>
        <w:t>.</w:t>
      </w:r>
      <w:r>
        <w:rPr>
          <w:lang w:eastAsia="hr-HR"/>
        </w:rPr>
        <w:t xml:space="preserve"> d.o.o. M</w:t>
      </w:r>
      <w:r w:rsidR="000D15B8">
        <w:rPr>
          <w:lang w:eastAsia="hr-HR"/>
        </w:rPr>
        <w:t>.</w:t>
      </w:r>
      <w:r>
        <w:rPr>
          <w:lang w:eastAsia="hr-HR"/>
        </w:rPr>
        <w:t xml:space="preserve"> i Ugovora o zajmu broj </w:t>
      </w:r>
      <w:r w:rsidR="000D15B8">
        <w:rPr>
          <w:lang w:eastAsia="hr-HR"/>
        </w:rPr>
        <w:t>...</w:t>
      </w:r>
      <w:r>
        <w:rPr>
          <w:lang w:eastAsia="hr-HR"/>
        </w:rPr>
        <w:t xml:space="preserve"> od 10. svibnja 2010. kojeg je tuženik potpisao i kao jamac platac i kao direktor trgovačkog društva S</w:t>
      </w:r>
      <w:r w:rsidR="000D15B8">
        <w:rPr>
          <w:lang w:eastAsia="hr-HR"/>
        </w:rPr>
        <w:t>.</w:t>
      </w:r>
      <w:r>
        <w:rPr>
          <w:lang w:eastAsia="hr-HR"/>
        </w:rPr>
        <w:t xml:space="preserve"> d.o.o. M</w:t>
      </w:r>
      <w:r w:rsidR="000D15B8">
        <w:rPr>
          <w:lang w:eastAsia="hr-HR"/>
        </w:rPr>
        <w:t>.</w:t>
      </w:r>
      <w:r>
        <w:rPr>
          <w:lang w:eastAsia="hr-HR"/>
        </w:rPr>
        <w:t>. Nadalje je utvrđeno da je u čl. 5. u oba Ugovora jasno navedeno da se zajmoprimac odnosno trgovačko društvo S</w:t>
      </w:r>
      <w:r w:rsidR="000D15B8">
        <w:rPr>
          <w:lang w:eastAsia="hr-HR"/>
        </w:rPr>
        <w:t>.</w:t>
      </w:r>
      <w:r>
        <w:rPr>
          <w:lang w:eastAsia="hr-HR"/>
        </w:rPr>
        <w:t xml:space="preserve"> d.o.o. M</w:t>
      </w:r>
      <w:r w:rsidR="000D15B8">
        <w:rPr>
          <w:lang w:eastAsia="hr-HR"/>
        </w:rPr>
        <w:t>. obvezuje vr</w:t>
      </w:r>
      <w:r>
        <w:rPr>
          <w:lang w:eastAsia="hr-HR"/>
        </w:rPr>
        <w:t xml:space="preserve">aćati zajam u 13 jednakih mjesečnih anuiteta, a temeljem DC računa koje mu zajmodavac ispostavlja  mjesečno, s tim da je zajmoprimac suglasan da DC račun može biti bilo koji račun za troškove koji terete bilo koju poslovnu Diners </w:t>
      </w:r>
      <w:proofErr w:type="spellStart"/>
      <w:r>
        <w:rPr>
          <w:lang w:eastAsia="hr-HR"/>
        </w:rPr>
        <w:t>Club</w:t>
      </w:r>
      <w:proofErr w:type="spellEnd"/>
      <w:r>
        <w:rPr>
          <w:lang w:eastAsia="hr-HR"/>
        </w:rPr>
        <w:t xml:space="preserve"> karticu izdanu na zahtjev zajmoprimca. </w:t>
      </w:r>
    </w:p>
    <w:p w:rsidR="007A716D" w:rsidRDefault="007A716D" w:rsidP="007A716D">
      <w:pPr>
        <w:autoSpaceDE w:val="0"/>
        <w:autoSpaceDN w:val="0"/>
        <w:adjustRightInd w:val="0"/>
        <w:ind w:firstLine="709"/>
        <w:jc w:val="both"/>
        <w:rPr>
          <w:lang w:eastAsia="hr-HR"/>
        </w:rPr>
      </w:pPr>
    </w:p>
    <w:p w:rsidR="005F2632" w:rsidRPr="00384A1B" w:rsidRDefault="00B257B2" w:rsidP="005F2632">
      <w:pPr>
        <w:jc w:val="both"/>
        <w:rPr>
          <w:lang w:eastAsia="hr-HR"/>
        </w:rPr>
      </w:pPr>
      <w:r w:rsidRPr="00384A1B">
        <w:tab/>
        <w:t>Međutim, o</w:t>
      </w:r>
      <w:r w:rsidR="005F2632" w:rsidRPr="00384A1B">
        <w:t xml:space="preserve">snovano tuženik navodi u žalbi da je sud prvog stupnja pogrešno </w:t>
      </w:r>
      <w:r w:rsidR="005F2632" w:rsidRPr="00384A1B">
        <w:rPr>
          <w:lang w:eastAsia="hr-HR"/>
        </w:rPr>
        <w:t xml:space="preserve">primijenio materijalno pravo kada je prihvatio tužbeni zahtjev, budući da </w:t>
      </w:r>
      <w:r w:rsidR="000219DD" w:rsidRPr="00384A1B">
        <w:rPr>
          <w:lang w:eastAsia="hr-HR"/>
        </w:rPr>
        <w:t xml:space="preserve">je </w:t>
      </w:r>
      <w:r w:rsidR="005F2632" w:rsidRPr="00384A1B">
        <w:rPr>
          <w:lang w:eastAsia="hr-HR"/>
        </w:rPr>
        <w:t>tužbeni zahtjev valjalo odbiti zbog osnovanosti istaknutog prigovora zastare.</w:t>
      </w:r>
    </w:p>
    <w:p w:rsidR="00B8196B" w:rsidRPr="00384A1B" w:rsidRDefault="00B8196B" w:rsidP="00EA3418">
      <w:pPr>
        <w:autoSpaceDE w:val="0"/>
        <w:autoSpaceDN w:val="0"/>
        <w:adjustRightInd w:val="0"/>
        <w:rPr>
          <w:lang w:eastAsia="hr-HR"/>
        </w:rPr>
      </w:pPr>
    </w:p>
    <w:p w:rsidR="003D66CC" w:rsidRPr="00384A1B" w:rsidRDefault="000219DD" w:rsidP="000219DD">
      <w:pPr>
        <w:tabs>
          <w:tab w:val="left" w:pos="1843"/>
          <w:tab w:val="left" w:pos="8505"/>
        </w:tabs>
        <w:jc w:val="both"/>
        <w:rPr>
          <w:lang w:eastAsia="hr-HR"/>
        </w:rPr>
      </w:pPr>
      <w:r w:rsidRPr="00384A1B">
        <w:rPr>
          <w:lang w:eastAsia="hr-HR"/>
        </w:rPr>
        <w:t xml:space="preserve">            U konkretnom slučaju ne primjenjuje se petogodišnji </w:t>
      </w:r>
      <w:proofErr w:type="spellStart"/>
      <w:r w:rsidRPr="00384A1B">
        <w:rPr>
          <w:lang w:eastAsia="hr-HR"/>
        </w:rPr>
        <w:t>zastarni</w:t>
      </w:r>
      <w:proofErr w:type="spellEnd"/>
      <w:r w:rsidRPr="00384A1B">
        <w:rPr>
          <w:lang w:eastAsia="hr-HR"/>
        </w:rPr>
        <w:t xml:space="preserve"> rok iz čl. 225. </w:t>
      </w:r>
      <w:r w:rsidRPr="00384A1B">
        <w:t>Zakona o obveznim odnosima (</w:t>
      </w:r>
      <w:r w:rsidR="00005F63" w:rsidRPr="00384A1B">
        <w:t>"</w:t>
      </w:r>
      <w:r w:rsidRPr="00384A1B">
        <w:t xml:space="preserve">Narodne </w:t>
      </w:r>
      <w:r w:rsidR="00005F63" w:rsidRPr="00384A1B">
        <w:t>novine"</w:t>
      </w:r>
      <w:r w:rsidRPr="00384A1B">
        <w:t xml:space="preserve"> broj 35/05., 41/08., 125/11., 78/15. i 29/18., u daljnjem tekstu: ZOO)</w:t>
      </w:r>
      <w:r w:rsidRPr="00384A1B">
        <w:rPr>
          <w:lang w:eastAsia="hr-HR"/>
        </w:rPr>
        <w:t xml:space="preserve"> već </w:t>
      </w:r>
      <w:r w:rsidR="00EA3418" w:rsidRPr="00384A1B">
        <w:rPr>
          <w:lang w:eastAsia="hr-HR"/>
        </w:rPr>
        <w:t>trogodišnji</w:t>
      </w:r>
      <w:r w:rsidR="003D66CC" w:rsidRPr="00384A1B">
        <w:rPr>
          <w:lang w:eastAsia="hr-HR"/>
        </w:rPr>
        <w:t xml:space="preserve"> </w:t>
      </w:r>
      <w:proofErr w:type="spellStart"/>
      <w:r w:rsidR="00EA3418" w:rsidRPr="00384A1B">
        <w:rPr>
          <w:lang w:eastAsia="hr-HR"/>
        </w:rPr>
        <w:t>zastarni</w:t>
      </w:r>
      <w:proofErr w:type="spellEnd"/>
      <w:r w:rsidR="00EA3418" w:rsidRPr="00384A1B">
        <w:rPr>
          <w:lang w:eastAsia="hr-HR"/>
        </w:rPr>
        <w:t xml:space="preserve"> rok iz č</w:t>
      </w:r>
      <w:r w:rsidRPr="00384A1B">
        <w:rPr>
          <w:lang w:eastAsia="hr-HR"/>
        </w:rPr>
        <w:t>l.</w:t>
      </w:r>
      <w:r w:rsidR="00EA3418" w:rsidRPr="00384A1B">
        <w:rPr>
          <w:lang w:eastAsia="hr-HR"/>
        </w:rPr>
        <w:t xml:space="preserve"> 228. st</w:t>
      </w:r>
      <w:r w:rsidRPr="00384A1B">
        <w:rPr>
          <w:lang w:eastAsia="hr-HR"/>
        </w:rPr>
        <w:t xml:space="preserve">. 1. ZOO-a. </w:t>
      </w:r>
    </w:p>
    <w:p w:rsidR="003D66CC" w:rsidRPr="00384A1B" w:rsidRDefault="003D66CC" w:rsidP="00EA3418">
      <w:pPr>
        <w:autoSpaceDE w:val="0"/>
        <w:autoSpaceDN w:val="0"/>
        <w:adjustRightInd w:val="0"/>
        <w:rPr>
          <w:lang w:eastAsia="hr-HR"/>
        </w:rPr>
      </w:pPr>
    </w:p>
    <w:p w:rsidR="00A54DB4" w:rsidRPr="00384A1B" w:rsidRDefault="003D66CC" w:rsidP="000219DD">
      <w:pPr>
        <w:autoSpaceDE w:val="0"/>
        <w:autoSpaceDN w:val="0"/>
        <w:adjustRightInd w:val="0"/>
        <w:jc w:val="both"/>
        <w:rPr>
          <w:lang w:eastAsia="hr-HR"/>
        </w:rPr>
      </w:pPr>
      <w:r w:rsidRPr="00384A1B">
        <w:rPr>
          <w:lang w:eastAsia="hr-HR"/>
        </w:rPr>
        <w:tab/>
      </w:r>
      <w:r w:rsidR="000219DD" w:rsidRPr="00384A1B">
        <w:rPr>
          <w:lang w:eastAsia="hr-HR"/>
        </w:rPr>
        <w:t>Odredbom čl. 228. st. 1. ZOO-a p</w:t>
      </w:r>
      <w:r w:rsidR="00EA3418" w:rsidRPr="00384A1B">
        <w:rPr>
          <w:lang w:eastAsia="hr-HR"/>
        </w:rPr>
        <w:t>ropisano je da međusobne tražbine iz trgovačkih ugovora o</w:t>
      </w:r>
      <w:r w:rsidRPr="00384A1B">
        <w:rPr>
          <w:lang w:eastAsia="hr-HR"/>
        </w:rPr>
        <w:t xml:space="preserve"> </w:t>
      </w:r>
      <w:r w:rsidR="00EA3418" w:rsidRPr="00384A1B">
        <w:rPr>
          <w:lang w:eastAsia="hr-HR"/>
        </w:rPr>
        <w:t xml:space="preserve">prometu roba i sluga zastarijevaju za tri godine. </w:t>
      </w:r>
    </w:p>
    <w:p w:rsidR="00A54DB4" w:rsidRPr="00384A1B" w:rsidRDefault="00A54DB4" w:rsidP="000219DD">
      <w:pPr>
        <w:autoSpaceDE w:val="0"/>
        <w:autoSpaceDN w:val="0"/>
        <w:adjustRightInd w:val="0"/>
        <w:jc w:val="both"/>
        <w:rPr>
          <w:lang w:eastAsia="hr-HR"/>
        </w:rPr>
      </w:pPr>
    </w:p>
    <w:p w:rsidR="003D66CC" w:rsidRPr="00384A1B" w:rsidRDefault="00A54DB4" w:rsidP="00A54DB4">
      <w:pPr>
        <w:autoSpaceDE w:val="0"/>
        <w:autoSpaceDN w:val="0"/>
        <w:adjustRightInd w:val="0"/>
        <w:jc w:val="both"/>
        <w:rPr>
          <w:lang w:eastAsia="hr-HR"/>
        </w:rPr>
      </w:pPr>
      <w:r w:rsidRPr="00384A1B">
        <w:rPr>
          <w:lang w:eastAsia="hr-HR"/>
        </w:rPr>
        <w:tab/>
        <w:t xml:space="preserve">Iako je točno da je </w:t>
      </w:r>
      <w:r w:rsidR="00EA3418" w:rsidRPr="00384A1B">
        <w:rPr>
          <w:lang w:eastAsia="hr-HR"/>
        </w:rPr>
        <w:t xml:space="preserve">tuženik </w:t>
      </w:r>
      <w:r w:rsidRPr="00384A1B">
        <w:rPr>
          <w:lang w:eastAsia="hr-HR"/>
        </w:rPr>
        <w:t>fi</w:t>
      </w:r>
      <w:r w:rsidR="00EA3418" w:rsidRPr="00384A1B">
        <w:rPr>
          <w:lang w:eastAsia="hr-HR"/>
        </w:rPr>
        <w:t>zička osoba, u konkretnom slučaju njegova</w:t>
      </w:r>
      <w:r w:rsidRPr="00384A1B">
        <w:rPr>
          <w:lang w:eastAsia="hr-HR"/>
        </w:rPr>
        <w:t xml:space="preserve"> </w:t>
      </w:r>
      <w:r w:rsidR="00EA3418" w:rsidRPr="00384A1B">
        <w:rPr>
          <w:lang w:eastAsia="hr-HR"/>
        </w:rPr>
        <w:t xml:space="preserve">obveza proizlazi iz </w:t>
      </w:r>
      <w:r w:rsidRPr="00384A1B">
        <w:rPr>
          <w:lang w:eastAsia="hr-HR"/>
        </w:rPr>
        <w:t xml:space="preserve">trgovačkog </w:t>
      </w:r>
      <w:r w:rsidR="00EA3418" w:rsidRPr="00384A1B">
        <w:rPr>
          <w:lang w:eastAsia="hr-HR"/>
        </w:rPr>
        <w:t xml:space="preserve">ugovora zaključenog između tužitelja i </w:t>
      </w:r>
      <w:r w:rsidRPr="00384A1B">
        <w:rPr>
          <w:lang w:eastAsia="hr-HR"/>
        </w:rPr>
        <w:t xml:space="preserve">trgovačkog društva </w:t>
      </w:r>
      <w:r w:rsidR="007A716D">
        <w:rPr>
          <w:lang w:eastAsia="hr-HR"/>
        </w:rPr>
        <w:t>S</w:t>
      </w:r>
      <w:r w:rsidR="009B7DF0">
        <w:rPr>
          <w:lang w:eastAsia="hr-HR"/>
        </w:rPr>
        <w:t>. d.o.o. M.</w:t>
      </w:r>
      <w:r w:rsidRPr="00384A1B">
        <w:rPr>
          <w:lang w:eastAsia="hr-HR"/>
        </w:rPr>
        <w:t xml:space="preserve">, </w:t>
      </w:r>
      <w:r w:rsidR="00EA3418" w:rsidRPr="00384A1B">
        <w:rPr>
          <w:lang w:eastAsia="hr-HR"/>
        </w:rPr>
        <w:t>a tuženik je solidarni jamac iz predmetnog</w:t>
      </w:r>
      <w:r w:rsidR="003D66CC" w:rsidRPr="00384A1B">
        <w:rPr>
          <w:lang w:eastAsia="hr-HR"/>
        </w:rPr>
        <w:t xml:space="preserve"> </w:t>
      </w:r>
      <w:r w:rsidRPr="00384A1B">
        <w:rPr>
          <w:lang w:eastAsia="hr-HR"/>
        </w:rPr>
        <w:t>U</w:t>
      </w:r>
      <w:r w:rsidR="00EA3418" w:rsidRPr="00384A1B">
        <w:rPr>
          <w:lang w:eastAsia="hr-HR"/>
        </w:rPr>
        <w:t xml:space="preserve">govora </w:t>
      </w:r>
      <w:r w:rsidR="00931D2D">
        <w:rPr>
          <w:lang w:eastAsia="hr-HR"/>
        </w:rPr>
        <w:t xml:space="preserve">o izdavanju i korištenju Diners </w:t>
      </w:r>
      <w:proofErr w:type="spellStart"/>
      <w:r w:rsidR="00931D2D">
        <w:rPr>
          <w:lang w:eastAsia="hr-HR"/>
        </w:rPr>
        <w:t>Business</w:t>
      </w:r>
      <w:proofErr w:type="spellEnd"/>
      <w:r w:rsidR="00931D2D">
        <w:rPr>
          <w:lang w:eastAsia="hr-HR"/>
        </w:rPr>
        <w:t xml:space="preserve"> </w:t>
      </w:r>
      <w:proofErr w:type="spellStart"/>
      <w:r w:rsidR="00931D2D">
        <w:rPr>
          <w:lang w:eastAsia="hr-HR"/>
        </w:rPr>
        <w:t>Club</w:t>
      </w:r>
      <w:proofErr w:type="spellEnd"/>
      <w:r w:rsidR="00931D2D">
        <w:rPr>
          <w:lang w:eastAsia="hr-HR"/>
        </w:rPr>
        <w:t xml:space="preserve"> kartice.</w:t>
      </w:r>
    </w:p>
    <w:p w:rsidR="00614E54" w:rsidRPr="00384A1B" w:rsidRDefault="00614E54" w:rsidP="00A54DB4">
      <w:pPr>
        <w:autoSpaceDE w:val="0"/>
        <w:autoSpaceDN w:val="0"/>
        <w:adjustRightInd w:val="0"/>
        <w:jc w:val="both"/>
        <w:rPr>
          <w:lang w:eastAsia="hr-HR"/>
        </w:rPr>
      </w:pPr>
    </w:p>
    <w:p w:rsidR="00614E54" w:rsidRDefault="00614E54" w:rsidP="00A54DB4">
      <w:pPr>
        <w:autoSpaceDE w:val="0"/>
        <w:autoSpaceDN w:val="0"/>
        <w:adjustRightInd w:val="0"/>
        <w:jc w:val="both"/>
        <w:rPr>
          <w:lang w:eastAsia="hr-HR"/>
        </w:rPr>
      </w:pPr>
      <w:r w:rsidRPr="00384A1B">
        <w:rPr>
          <w:lang w:eastAsia="hr-HR"/>
        </w:rPr>
        <w:tab/>
        <w:t xml:space="preserve">Trgovački ugovori su prema odredbi čl. 14. st. 2. ZOO-a ugovori što ih sklapaju trgovci među sobom u obavljanju djelatnosti koje čine predmet poslovanja barem jednoga od njih ili su u vezi s obavljanjem tih djelatnosti.  </w:t>
      </w:r>
    </w:p>
    <w:p w:rsidR="00B80CCE" w:rsidRDefault="00B80CCE" w:rsidP="00A54DB4">
      <w:pPr>
        <w:autoSpaceDE w:val="0"/>
        <w:autoSpaceDN w:val="0"/>
        <w:adjustRightInd w:val="0"/>
        <w:jc w:val="both"/>
        <w:rPr>
          <w:lang w:eastAsia="hr-HR"/>
        </w:rPr>
      </w:pPr>
    </w:p>
    <w:p w:rsidR="001F64DF" w:rsidRPr="00384A1B" w:rsidRDefault="001F64DF" w:rsidP="00A54DB4">
      <w:pPr>
        <w:autoSpaceDE w:val="0"/>
        <w:autoSpaceDN w:val="0"/>
        <w:adjustRightInd w:val="0"/>
        <w:jc w:val="both"/>
        <w:rPr>
          <w:lang w:eastAsia="hr-HR"/>
        </w:rPr>
      </w:pPr>
      <w:r>
        <w:rPr>
          <w:lang w:eastAsia="hr-HR"/>
        </w:rPr>
        <w:tab/>
        <w:t>Trgovačko društvo S</w:t>
      </w:r>
      <w:r w:rsidR="009B7DF0">
        <w:rPr>
          <w:lang w:eastAsia="hr-HR"/>
        </w:rPr>
        <w:t>.</w:t>
      </w:r>
      <w:r>
        <w:rPr>
          <w:lang w:eastAsia="hr-HR"/>
        </w:rPr>
        <w:t xml:space="preserve"> d.o.o. M</w:t>
      </w:r>
      <w:r w:rsidR="009B7DF0">
        <w:rPr>
          <w:lang w:eastAsia="hr-HR"/>
        </w:rPr>
        <w:t>.</w:t>
      </w:r>
      <w:r>
        <w:rPr>
          <w:lang w:eastAsia="hr-HR"/>
        </w:rPr>
        <w:t xml:space="preserve"> je stranka navedenog Ugovora u svojstvu korisnika kartice, te je u tom smislu preuzelo obvezu plaćanja svih troškova učinjenih karticom krajnjeg korisnika, ovdje tuženika. Tuženik je krajnji korisnik kartice i on je ujedno preuzeo obvezu solidarne odgovornosti kao jamac za sve troškove učinjene</w:t>
      </w:r>
      <w:r w:rsidR="00931D2D">
        <w:rPr>
          <w:lang w:eastAsia="hr-HR"/>
        </w:rPr>
        <w:t xml:space="preserve"> karticom koja glasi na njegovo ime.</w:t>
      </w:r>
      <w:r>
        <w:rPr>
          <w:lang w:eastAsia="hr-HR"/>
        </w:rPr>
        <w:t xml:space="preserve"> </w:t>
      </w:r>
    </w:p>
    <w:p w:rsidR="003D66CC" w:rsidRPr="00B80CCE" w:rsidRDefault="003D66CC" w:rsidP="00EA3418">
      <w:pPr>
        <w:autoSpaceDE w:val="0"/>
        <w:autoSpaceDN w:val="0"/>
        <w:adjustRightInd w:val="0"/>
        <w:rPr>
          <w:sz w:val="30"/>
          <w:szCs w:val="30"/>
          <w:lang w:eastAsia="hr-HR"/>
        </w:rPr>
      </w:pPr>
    </w:p>
    <w:p w:rsidR="003D66CC" w:rsidRPr="00384A1B" w:rsidRDefault="003D66CC" w:rsidP="00221AA9">
      <w:pPr>
        <w:autoSpaceDE w:val="0"/>
        <w:autoSpaceDN w:val="0"/>
        <w:adjustRightInd w:val="0"/>
        <w:jc w:val="both"/>
        <w:rPr>
          <w:lang w:eastAsia="hr-HR"/>
        </w:rPr>
      </w:pPr>
      <w:r w:rsidRPr="00384A1B">
        <w:rPr>
          <w:lang w:eastAsia="hr-HR"/>
        </w:rPr>
        <w:tab/>
      </w:r>
      <w:r w:rsidR="00EA3418" w:rsidRPr="00384A1B">
        <w:rPr>
          <w:lang w:eastAsia="hr-HR"/>
        </w:rPr>
        <w:t>Slijedom</w:t>
      </w:r>
      <w:r w:rsidRPr="00384A1B">
        <w:rPr>
          <w:lang w:eastAsia="hr-HR"/>
        </w:rPr>
        <w:t xml:space="preserve"> </w:t>
      </w:r>
      <w:r w:rsidR="00EA3418" w:rsidRPr="00384A1B">
        <w:rPr>
          <w:lang w:eastAsia="hr-HR"/>
        </w:rPr>
        <w:t>izn</w:t>
      </w:r>
      <w:r w:rsidR="00221AA9" w:rsidRPr="00384A1B">
        <w:rPr>
          <w:lang w:eastAsia="hr-HR"/>
        </w:rPr>
        <w:t xml:space="preserve">ijetog, u konkretnom slučaju riječ je </w:t>
      </w:r>
      <w:r w:rsidR="00EA3418" w:rsidRPr="00384A1B">
        <w:rPr>
          <w:lang w:eastAsia="hr-HR"/>
        </w:rPr>
        <w:t xml:space="preserve">o tražbini </w:t>
      </w:r>
      <w:r w:rsidR="00221AA9" w:rsidRPr="00384A1B">
        <w:rPr>
          <w:lang w:eastAsia="hr-HR"/>
        </w:rPr>
        <w:t xml:space="preserve">tužitelja </w:t>
      </w:r>
      <w:r w:rsidR="00EA3418" w:rsidRPr="00384A1B">
        <w:rPr>
          <w:lang w:eastAsia="hr-HR"/>
        </w:rPr>
        <w:t>iz trgovačkog</w:t>
      </w:r>
      <w:r w:rsidRPr="00384A1B">
        <w:rPr>
          <w:lang w:eastAsia="hr-HR"/>
        </w:rPr>
        <w:t xml:space="preserve"> </w:t>
      </w:r>
      <w:r w:rsidR="00EA3418" w:rsidRPr="00384A1B">
        <w:rPr>
          <w:lang w:eastAsia="hr-HR"/>
        </w:rPr>
        <w:t>ugovora</w:t>
      </w:r>
      <w:r w:rsidR="00F21311" w:rsidRPr="00384A1B">
        <w:rPr>
          <w:lang w:eastAsia="hr-HR"/>
        </w:rPr>
        <w:t xml:space="preserve">, </w:t>
      </w:r>
      <w:r w:rsidR="00EA3418" w:rsidRPr="00384A1B">
        <w:rPr>
          <w:lang w:eastAsia="hr-HR"/>
        </w:rPr>
        <w:t xml:space="preserve"> pa </w:t>
      </w:r>
      <w:r w:rsidR="00F21311" w:rsidRPr="00384A1B">
        <w:rPr>
          <w:lang w:eastAsia="hr-HR"/>
        </w:rPr>
        <w:t>tražbina iz tog Ugovora zast</w:t>
      </w:r>
      <w:r w:rsidR="00194D77" w:rsidRPr="00384A1B">
        <w:rPr>
          <w:lang w:eastAsia="hr-HR"/>
        </w:rPr>
        <w:t>a</w:t>
      </w:r>
      <w:r w:rsidR="00F21311" w:rsidRPr="00384A1B">
        <w:rPr>
          <w:lang w:eastAsia="hr-HR"/>
        </w:rPr>
        <w:t xml:space="preserve">rijeva u trogodišnjem roku, </w:t>
      </w:r>
      <w:r w:rsidRPr="00384A1B">
        <w:rPr>
          <w:lang w:eastAsia="hr-HR"/>
        </w:rPr>
        <w:t xml:space="preserve"> </w:t>
      </w:r>
      <w:r w:rsidR="00EA3418" w:rsidRPr="00384A1B">
        <w:rPr>
          <w:lang w:eastAsia="hr-HR"/>
        </w:rPr>
        <w:t xml:space="preserve">neovisno </w:t>
      </w:r>
      <w:r w:rsidR="00F21311" w:rsidRPr="00384A1B">
        <w:rPr>
          <w:lang w:eastAsia="hr-HR"/>
        </w:rPr>
        <w:t xml:space="preserve">o tome </w:t>
      </w:r>
      <w:r w:rsidR="00EA3418" w:rsidRPr="00384A1B">
        <w:rPr>
          <w:lang w:eastAsia="hr-HR"/>
        </w:rPr>
        <w:t xml:space="preserve">što je tuženik </w:t>
      </w:r>
      <w:r w:rsidR="00F21311" w:rsidRPr="00384A1B">
        <w:rPr>
          <w:lang w:eastAsia="hr-HR"/>
        </w:rPr>
        <w:t>fi</w:t>
      </w:r>
      <w:r w:rsidR="00EA3418" w:rsidRPr="00384A1B">
        <w:rPr>
          <w:lang w:eastAsia="hr-HR"/>
        </w:rPr>
        <w:t xml:space="preserve">zička osoba. </w:t>
      </w:r>
    </w:p>
    <w:p w:rsidR="003D66CC" w:rsidRPr="00B80CCE" w:rsidRDefault="003D66CC" w:rsidP="00EA3418">
      <w:pPr>
        <w:autoSpaceDE w:val="0"/>
        <w:autoSpaceDN w:val="0"/>
        <w:adjustRightInd w:val="0"/>
        <w:rPr>
          <w:sz w:val="30"/>
          <w:szCs w:val="30"/>
          <w:lang w:eastAsia="hr-HR"/>
        </w:rPr>
      </w:pPr>
    </w:p>
    <w:p w:rsidR="007E44D1" w:rsidRPr="00384A1B" w:rsidRDefault="003D66CC" w:rsidP="00572ABA">
      <w:pPr>
        <w:autoSpaceDE w:val="0"/>
        <w:autoSpaceDN w:val="0"/>
        <w:adjustRightInd w:val="0"/>
        <w:jc w:val="both"/>
        <w:rPr>
          <w:lang w:eastAsia="hr-HR"/>
        </w:rPr>
      </w:pPr>
      <w:r w:rsidRPr="00384A1B">
        <w:rPr>
          <w:lang w:eastAsia="hr-HR"/>
        </w:rPr>
        <w:t xml:space="preserve">           </w:t>
      </w:r>
      <w:r w:rsidR="00F21311" w:rsidRPr="00384A1B">
        <w:rPr>
          <w:lang w:eastAsia="hr-HR"/>
        </w:rPr>
        <w:t>Budući da tražbin</w:t>
      </w:r>
      <w:r w:rsidR="00572ABA" w:rsidRPr="00384A1B">
        <w:rPr>
          <w:lang w:eastAsia="hr-HR"/>
        </w:rPr>
        <w:t>a</w:t>
      </w:r>
      <w:r w:rsidR="00F21311" w:rsidRPr="00384A1B">
        <w:rPr>
          <w:lang w:eastAsia="hr-HR"/>
        </w:rPr>
        <w:t xml:space="preserve"> tužitelja do</w:t>
      </w:r>
      <w:r w:rsidR="00572ABA" w:rsidRPr="00384A1B">
        <w:rPr>
          <w:lang w:eastAsia="hr-HR"/>
        </w:rPr>
        <w:t>s</w:t>
      </w:r>
      <w:r w:rsidR="00F21311" w:rsidRPr="00384A1B">
        <w:rPr>
          <w:lang w:eastAsia="hr-HR"/>
        </w:rPr>
        <w:t>p</w:t>
      </w:r>
      <w:r w:rsidR="00572ABA" w:rsidRPr="00384A1B">
        <w:rPr>
          <w:lang w:eastAsia="hr-HR"/>
        </w:rPr>
        <w:t>i</w:t>
      </w:r>
      <w:r w:rsidR="00F21311" w:rsidRPr="00384A1B">
        <w:rPr>
          <w:lang w:eastAsia="hr-HR"/>
        </w:rPr>
        <w:t xml:space="preserve">jeva u </w:t>
      </w:r>
      <w:r w:rsidR="001F64DF">
        <w:rPr>
          <w:lang w:eastAsia="hr-HR"/>
        </w:rPr>
        <w:t xml:space="preserve">svibnju i </w:t>
      </w:r>
      <w:r w:rsidR="00572ABA" w:rsidRPr="00384A1B">
        <w:rPr>
          <w:lang w:eastAsia="hr-HR"/>
        </w:rPr>
        <w:t>lipnju</w:t>
      </w:r>
      <w:r w:rsidR="001F64DF">
        <w:rPr>
          <w:lang w:eastAsia="hr-HR"/>
        </w:rPr>
        <w:t xml:space="preserve"> 2011</w:t>
      </w:r>
      <w:r w:rsidR="00572ABA" w:rsidRPr="00384A1B">
        <w:rPr>
          <w:lang w:eastAsia="hr-HR"/>
        </w:rPr>
        <w:t xml:space="preserve">., a </w:t>
      </w:r>
      <w:r w:rsidR="00EA3418" w:rsidRPr="00384A1B">
        <w:rPr>
          <w:lang w:eastAsia="hr-HR"/>
        </w:rPr>
        <w:t xml:space="preserve"> tužba </w:t>
      </w:r>
      <w:r w:rsidR="00572ABA" w:rsidRPr="00384A1B">
        <w:rPr>
          <w:lang w:eastAsia="hr-HR"/>
        </w:rPr>
        <w:t xml:space="preserve">je </w:t>
      </w:r>
      <w:r w:rsidR="00EA3418" w:rsidRPr="00384A1B">
        <w:rPr>
          <w:lang w:eastAsia="hr-HR"/>
        </w:rPr>
        <w:t>podnesena</w:t>
      </w:r>
      <w:r w:rsidRPr="00384A1B">
        <w:rPr>
          <w:lang w:eastAsia="hr-HR"/>
        </w:rPr>
        <w:t xml:space="preserve"> </w:t>
      </w:r>
      <w:r w:rsidR="001F64DF">
        <w:rPr>
          <w:lang w:eastAsia="hr-HR"/>
        </w:rPr>
        <w:t>9</w:t>
      </w:r>
      <w:r w:rsidR="00572ABA" w:rsidRPr="00384A1B">
        <w:rPr>
          <w:lang w:eastAsia="hr-HR"/>
        </w:rPr>
        <w:t>. svibnja 201</w:t>
      </w:r>
      <w:r w:rsidR="001F64DF">
        <w:rPr>
          <w:lang w:eastAsia="hr-HR"/>
        </w:rPr>
        <w:t>6</w:t>
      </w:r>
      <w:r w:rsidR="00572ABA" w:rsidRPr="00384A1B">
        <w:rPr>
          <w:lang w:eastAsia="hr-HR"/>
        </w:rPr>
        <w:t xml:space="preserve">., </w:t>
      </w:r>
      <w:r w:rsidR="00A45340" w:rsidRPr="00384A1B">
        <w:rPr>
          <w:lang w:eastAsia="hr-HR"/>
        </w:rPr>
        <w:t xml:space="preserve">uz pravilnu primjenu materijalnog prava i to odredbe čl. 228. st. 1. </w:t>
      </w:r>
      <w:r w:rsidR="001F64DF">
        <w:rPr>
          <w:lang w:eastAsia="hr-HR"/>
        </w:rPr>
        <w:t xml:space="preserve">i 2. </w:t>
      </w:r>
      <w:r w:rsidR="00A45340" w:rsidRPr="00384A1B">
        <w:rPr>
          <w:lang w:eastAsia="hr-HR"/>
        </w:rPr>
        <w:t xml:space="preserve">ZOO-a u vezi sa odredbama čl. 214., 215. i 216. ZOO-a, trebao je zaključiti da je tužba podnesena nakon proteka </w:t>
      </w:r>
      <w:r w:rsidR="007E44D1" w:rsidRPr="00384A1B">
        <w:rPr>
          <w:lang w:eastAsia="hr-HR"/>
        </w:rPr>
        <w:t xml:space="preserve">trogodišnjeg </w:t>
      </w:r>
      <w:proofErr w:type="spellStart"/>
      <w:r w:rsidR="007E44D1" w:rsidRPr="00384A1B">
        <w:rPr>
          <w:lang w:eastAsia="hr-HR"/>
        </w:rPr>
        <w:t>zastarnog</w:t>
      </w:r>
      <w:proofErr w:type="spellEnd"/>
      <w:r w:rsidR="007E44D1" w:rsidRPr="00384A1B">
        <w:rPr>
          <w:lang w:eastAsia="hr-HR"/>
        </w:rPr>
        <w:t xml:space="preserve"> roka.</w:t>
      </w:r>
    </w:p>
    <w:p w:rsidR="007E44D1" w:rsidRPr="00B80CCE" w:rsidRDefault="007E44D1" w:rsidP="00B80CCE">
      <w:pPr>
        <w:autoSpaceDE w:val="0"/>
        <w:autoSpaceDN w:val="0"/>
        <w:adjustRightInd w:val="0"/>
        <w:rPr>
          <w:sz w:val="30"/>
          <w:szCs w:val="30"/>
          <w:lang w:eastAsia="hr-HR"/>
        </w:rPr>
      </w:pPr>
    </w:p>
    <w:p w:rsidR="006316CC" w:rsidRPr="00384A1B" w:rsidRDefault="007E44D1" w:rsidP="00572ABA">
      <w:pPr>
        <w:autoSpaceDE w:val="0"/>
        <w:autoSpaceDN w:val="0"/>
        <w:adjustRightInd w:val="0"/>
        <w:jc w:val="both"/>
        <w:rPr>
          <w:lang w:eastAsia="hr-HR"/>
        </w:rPr>
      </w:pPr>
      <w:r w:rsidRPr="00384A1B">
        <w:rPr>
          <w:lang w:eastAsia="hr-HR"/>
        </w:rPr>
        <w:tab/>
        <w:t xml:space="preserve">Kad zastari </w:t>
      </w:r>
      <w:r w:rsidR="00EA3418" w:rsidRPr="00384A1B">
        <w:rPr>
          <w:lang w:eastAsia="hr-HR"/>
        </w:rPr>
        <w:t>obvez</w:t>
      </w:r>
      <w:r w:rsidRPr="00384A1B">
        <w:rPr>
          <w:lang w:eastAsia="hr-HR"/>
        </w:rPr>
        <w:t>a</w:t>
      </w:r>
      <w:r w:rsidR="003D66CC" w:rsidRPr="00384A1B">
        <w:rPr>
          <w:lang w:eastAsia="hr-HR"/>
        </w:rPr>
        <w:t xml:space="preserve"> </w:t>
      </w:r>
      <w:r w:rsidR="00EA3418" w:rsidRPr="00384A1B">
        <w:rPr>
          <w:lang w:eastAsia="hr-HR"/>
        </w:rPr>
        <w:t>glavnog dužnika</w:t>
      </w:r>
      <w:r w:rsidRPr="00384A1B">
        <w:rPr>
          <w:lang w:eastAsia="hr-HR"/>
        </w:rPr>
        <w:t xml:space="preserve">, zastarjela je i </w:t>
      </w:r>
      <w:r w:rsidR="00656C1F" w:rsidRPr="00384A1B">
        <w:rPr>
          <w:lang w:eastAsia="hr-HR"/>
        </w:rPr>
        <w:t>o</w:t>
      </w:r>
      <w:r w:rsidR="00EA3418" w:rsidRPr="00384A1B">
        <w:rPr>
          <w:lang w:eastAsia="hr-HR"/>
        </w:rPr>
        <w:t>bvez</w:t>
      </w:r>
      <w:r w:rsidR="00656C1F" w:rsidRPr="00384A1B">
        <w:rPr>
          <w:lang w:eastAsia="hr-HR"/>
        </w:rPr>
        <w:t>a</w:t>
      </w:r>
      <w:r w:rsidR="00EA3418" w:rsidRPr="00384A1B">
        <w:rPr>
          <w:lang w:eastAsia="hr-HR"/>
        </w:rPr>
        <w:t xml:space="preserve"> tuženika kao jamca</w:t>
      </w:r>
      <w:r w:rsidR="00656C1F" w:rsidRPr="00384A1B">
        <w:rPr>
          <w:lang w:eastAsia="hr-HR"/>
        </w:rPr>
        <w:t xml:space="preserve"> na </w:t>
      </w:r>
      <w:r w:rsidR="00EA3418" w:rsidRPr="00384A1B">
        <w:rPr>
          <w:lang w:eastAsia="hr-HR"/>
        </w:rPr>
        <w:t>temelj</w:t>
      </w:r>
      <w:r w:rsidR="00656C1F" w:rsidRPr="00384A1B">
        <w:rPr>
          <w:lang w:eastAsia="hr-HR"/>
        </w:rPr>
        <w:t>u</w:t>
      </w:r>
      <w:r w:rsidR="00EA3418" w:rsidRPr="00384A1B">
        <w:rPr>
          <w:lang w:eastAsia="hr-HR"/>
        </w:rPr>
        <w:t xml:space="preserve"> odredbe čl</w:t>
      </w:r>
      <w:r w:rsidR="00656C1F" w:rsidRPr="00384A1B">
        <w:rPr>
          <w:lang w:eastAsia="hr-HR"/>
        </w:rPr>
        <w:t xml:space="preserve">. </w:t>
      </w:r>
      <w:r w:rsidR="00EA3418" w:rsidRPr="00384A1B">
        <w:rPr>
          <w:lang w:eastAsia="hr-HR"/>
        </w:rPr>
        <w:t>126. st</w:t>
      </w:r>
      <w:r w:rsidR="00656C1F" w:rsidRPr="00384A1B">
        <w:rPr>
          <w:lang w:eastAsia="hr-HR"/>
        </w:rPr>
        <w:t>.</w:t>
      </w:r>
      <w:r w:rsidR="00EA3418" w:rsidRPr="00384A1B">
        <w:rPr>
          <w:lang w:eastAsia="hr-HR"/>
        </w:rPr>
        <w:t xml:space="preserve">1. ZOO-a. </w:t>
      </w:r>
    </w:p>
    <w:p w:rsidR="006316CC" w:rsidRPr="00B80CCE" w:rsidRDefault="006316CC" w:rsidP="00EA3418">
      <w:pPr>
        <w:autoSpaceDE w:val="0"/>
        <w:autoSpaceDN w:val="0"/>
        <w:adjustRightInd w:val="0"/>
        <w:rPr>
          <w:sz w:val="30"/>
          <w:szCs w:val="30"/>
          <w:lang w:eastAsia="hr-HR"/>
        </w:rPr>
      </w:pPr>
    </w:p>
    <w:p w:rsidR="00EA3418" w:rsidRPr="00384A1B" w:rsidRDefault="00656C1F" w:rsidP="00936944">
      <w:pPr>
        <w:autoSpaceDE w:val="0"/>
        <w:autoSpaceDN w:val="0"/>
        <w:adjustRightInd w:val="0"/>
        <w:jc w:val="both"/>
        <w:rPr>
          <w:lang w:eastAsia="hr-HR"/>
        </w:rPr>
      </w:pPr>
      <w:r w:rsidRPr="00384A1B">
        <w:rPr>
          <w:lang w:eastAsia="hr-HR"/>
        </w:rPr>
        <w:tab/>
      </w:r>
      <w:r w:rsidR="00EA3418" w:rsidRPr="00384A1B">
        <w:rPr>
          <w:lang w:eastAsia="hr-HR"/>
        </w:rPr>
        <w:t xml:space="preserve">Stoga je </w:t>
      </w:r>
      <w:r w:rsidR="00936944" w:rsidRPr="00384A1B">
        <w:rPr>
          <w:lang w:eastAsia="hr-HR"/>
        </w:rPr>
        <w:t xml:space="preserve">uz pravilnu primjenu materijalnog prava </w:t>
      </w:r>
      <w:r w:rsidR="00EA3418" w:rsidRPr="00384A1B">
        <w:rPr>
          <w:lang w:eastAsia="hr-HR"/>
        </w:rPr>
        <w:t>valjalo</w:t>
      </w:r>
      <w:r w:rsidR="006316CC" w:rsidRPr="00384A1B">
        <w:rPr>
          <w:lang w:eastAsia="hr-HR"/>
        </w:rPr>
        <w:t xml:space="preserve"> </w:t>
      </w:r>
      <w:r w:rsidR="00EA3418" w:rsidRPr="00384A1B">
        <w:rPr>
          <w:lang w:eastAsia="hr-HR"/>
        </w:rPr>
        <w:t xml:space="preserve">prihvatiti </w:t>
      </w:r>
      <w:r w:rsidR="00936944" w:rsidRPr="00384A1B">
        <w:rPr>
          <w:lang w:eastAsia="hr-HR"/>
        </w:rPr>
        <w:t xml:space="preserve">istaknuti </w:t>
      </w:r>
      <w:r w:rsidR="00EA3418" w:rsidRPr="00384A1B">
        <w:rPr>
          <w:lang w:eastAsia="hr-HR"/>
        </w:rPr>
        <w:t xml:space="preserve">prigovor zastare i </w:t>
      </w:r>
      <w:r w:rsidR="00936944" w:rsidRPr="00384A1B">
        <w:rPr>
          <w:lang w:eastAsia="hr-HR"/>
        </w:rPr>
        <w:t>o</w:t>
      </w:r>
      <w:r w:rsidR="00EA3418" w:rsidRPr="00384A1B">
        <w:rPr>
          <w:lang w:eastAsia="hr-HR"/>
        </w:rPr>
        <w:t>dbiti tužbeni zahtjev</w:t>
      </w:r>
      <w:r w:rsidR="00936944" w:rsidRPr="00384A1B">
        <w:rPr>
          <w:lang w:eastAsia="hr-HR"/>
        </w:rPr>
        <w:t xml:space="preserve"> kao neosnovan, pa je u tom smislu </w:t>
      </w:r>
      <w:r w:rsidR="00EA3418" w:rsidRPr="00384A1B">
        <w:rPr>
          <w:lang w:eastAsia="hr-HR"/>
        </w:rPr>
        <w:t xml:space="preserve">preinačena </w:t>
      </w:r>
      <w:r w:rsidR="00936944" w:rsidRPr="00384A1B">
        <w:rPr>
          <w:lang w:eastAsia="hr-HR"/>
        </w:rPr>
        <w:t>odluka suda prvog stupnja.</w:t>
      </w:r>
    </w:p>
    <w:p w:rsidR="006316CC" w:rsidRPr="00B80CCE" w:rsidRDefault="006316CC" w:rsidP="00EA3418">
      <w:pPr>
        <w:autoSpaceDE w:val="0"/>
        <w:autoSpaceDN w:val="0"/>
        <w:adjustRightInd w:val="0"/>
        <w:rPr>
          <w:sz w:val="30"/>
          <w:szCs w:val="30"/>
          <w:lang w:eastAsia="hr-HR"/>
        </w:rPr>
      </w:pPr>
    </w:p>
    <w:p w:rsidR="00936944" w:rsidRPr="00384A1B" w:rsidRDefault="00936944" w:rsidP="00936944">
      <w:pPr>
        <w:autoSpaceDE w:val="0"/>
        <w:autoSpaceDN w:val="0"/>
        <w:adjustRightInd w:val="0"/>
        <w:jc w:val="both"/>
        <w:rPr>
          <w:lang w:eastAsia="hr-HR"/>
        </w:rPr>
      </w:pPr>
      <w:r w:rsidRPr="00384A1B">
        <w:rPr>
          <w:lang w:eastAsia="hr-HR"/>
        </w:rPr>
        <w:tab/>
      </w:r>
      <w:r w:rsidR="00EA3418" w:rsidRPr="00384A1B">
        <w:rPr>
          <w:lang w:eastAsia="hr-HR"/>
        </w:rPr>
        <w:t>Budući da je</w:t>
      </w:r>
      <w:r w:rsidRPr="00384A1B">
        <w:rPr>
          <w:lang w:eastAsia="hr-HR"/>
        </w:rPr>
        <w:t xml:space="preserve"> zbog preinake odluke suda prvog stupnja</w:t>
      </w:r>
      <w:r w:rsidR="00ED6CE0">
        <w:rPr>
          <w:lang w:eastAsia="hr-HR"/>
        </w:rPr>
        <w:t xml:space="preserve"> o glavnoj stvari</w:t>
      </w:r>
      <w:r w:rsidRPr="00384A1B">
        <w:rPr>
          <w:lang w:eastAsia="hr-HR"/>
        </w:rPr>
        <w:t xml:space="preserve">, tuženik uspio u sporu u cijelosti, preinačena je i odluka o troškovima postupka. </w:t>
      </w:r>
    </w:p>
    <w:p w:rsidR="00936944" w:rsidRPr="00B80CCE" w:rsidRDefault="00936944" w:rsidP="00EA3418">
      <w:pPr>
        <w:autoSpaceDE w:val="0"/>
        <w:autoSpaceDN w:val="0"/>
        <w:adjustRightInd w:val="0"/>
        <w:rPr>
          <w:sz w:val="30"/>
          <w:szCs w:val="30"/>
          <w:lang w:eastAsia="hr-HR"/>
        </w:rPr>
      </w:pPr>
    </w:p>
    <w:p w:rsidR="001F64DF" w:rsidRDefault="00ED6CE0" w:rsidP="00133F43">
      <w:pPr>
        <w:autoSpaceDE w:val="0"/>
        <w:autoSpaceDN w:val="0"/>
        <w:adjustRightInd w:val="0"/>
        <w:jc w:val="both"/>
        <w:rPr>
          <w:lang w:eastAsia="hr-HR"/>
        </w:rPr>
      </w:pPr>
      <w:r>
        <w:rPr>
          <w:lang w:eastAsia="hr-HR"/>
        </w:rPr>
        <w:tab/>
        <w:t>Tuženiku su priznati putni troškovi na relaciji S</w:t>
      </w:r>
      <w:r w:rsidR="00B30662">
        <w:rPr>
          <w:lang w:eastAsia="hr-HR"/>
        </w:rPr>
        <w:t>.</w:t>
      </w:r>
      <w:r>
        <w:rPr>
          <w:lang w:eastAsia="hr-HR"/>
        </w:rPr>
        <w:t xml:space="preserve"> – Z</w:t>
      </w:r>
      <w:r w:rsidR="00B30662">
        <w:rPr>
          <w:lang w:eastAsia="hr-HR"/>
        </w:rPr>
        <w:t>.</w:t>
      </w:r>
      <w:r>
        <w:rPr>
          <w:lang w:eastAsia="hr-HR"/>
        </w:rPr>
        <w:t xml:space="preserve"> – S</w:t>
      </w:r>
      <w:r w:rsidR="00B30662">
        <w:rPr>
          <w:lang w:eastAsia="hr-HR"/>
        </w:rPr>
        <w:t>.</w:t>
      </w:r>
      <w:r>
        <w:rPr>
          <w:lang w:eastAsia="hr-HR"/>
        </w:rPr>
        <w:t xml:space="preserve"> za pristup na ročišta dana </w:t>
      </w:r>
      <w:r w:rsidR="00133F43">
        <w:rPr>
          <w:lang w:eastAsia="hr-HR"/>
        </w:rPr>
        <w:t>4. srpnja 2016., 9. lipnja 2017., 15. listopada 2018. i 11. lipnja 2019. i to troškovi korištenja osobnog automobila na navedenoj relaciji za ukupno 1.218 km (609 km x 2</w:t>
      </w:r>
      <w:r w:rsidR="00B075F9">
        <w:rPr>
          <w:lang w:eastAsia="hr-HR"/>
        </w:rPr>
        <w:t>)</w:t>
      </w:r>
      <w:r w:rsidR="00133F43">
        <w:rPr>
          <w:lang w:eastAsia="hr-HR"/>
        </w:rPr>
        <w:t>, po cijeni od 2,00 kn po prijeđenom km</w:t>
      </w:r>
      <w:r w:rsidR="002574AA">
        <w:rPr>
          <w:lang w:eastAsia="hr-HR"/>
        </w:rPr>
        <w:t xml:space="preserve"> iznos od 2.436,00 kn za svako ročište, trošak cestarine za pristup na ročište 4. srpnja 2016. u iznosu od 444,00 kn (222,00 kn x 2), a za ročišta 9. lipnja 2017., 15. listopada 2018. i 11. lipnja 2019. iznos od 462,00 kn (231,00 kn x 2) za svako ročište, trošak dnevnica za ukupno osam dana (170,00 kn x 2)</w:t>
      </w:r>
      <w:r w:rsidR="00B075F9">
        <w:rPr>
          <w:lang w:eastAsia="hr-HR"/>
        </w:rPr>
        <w:t xml:space="preserve"> u iznosu od 1.360,00 kn, kao i iznos od 250,00 kn na ime plaćenog predujma za pristup vještaka na ročište, </w:t>
      </w:r>
      <w:r w:rsidR="001A35EC">
        <w:rPr>
          <w:lang w:eastAsia="hr-HR"/>
        </w:rPr>
        <w:t xml:space="preserve">što sveukupno iznosi 13.184,00 kn, </w:t>
      </w:r>
      <w:r w:rsidR="00B075F9">
        <w:rPr>
          <w:lang w:eastAsia="hr-HR"/>
        </w:rPr>
        <w:t>sukladno odredbama čl. 271. ZPP-a u vezi s čl. 249. ZPP-a i odredb</w:t>
      </w:r>
      <w:r w:rsidR="001A35EC">
        <w:rPr>
          <w:lang w:eastAsia="hr-HR"/>
        </w:rPr>
        <w:t>i čl. 24.</w:t>
      </w:r>
      <w:r w:rsidR="00B075F9">
        <w:rPr>
          <w:lang w:eastAsia="hr-HR"/>
        </w:rPr>
        <w:t xml:space="preserve"> Pravilnika o naknadi troškova u sudskim postupcima ("Narodne novine" broj 8/88., 3/94. i 150/05., u daljnjem tekstu: Pravilnik).</w:t>
      </w:r>
      <w:r w:rsidR="00930B7C">
        <w:rPr>
          <w:lang w:eastAsia="hr-HR"/>
        </w:rPr>
        <w:t xml:space="preserve"> Tuženiku je priznat trošak uporabe osobnog automobila za putovanje na ročišta, kao i trošak cestarine (za koje je u spis priložio fotokopije potvrda o plaćanju</w:t>
      </w:r>
      <w:r w:rsidR="008F3280">
        <w:rPr>
          <w:lang w:eastAsia="hr-HR"/>
        </w:rPr>
        <w:t>) sukladno odredb</w:t>
      </w:r>
      <w:r w:rsidR="00652D2B">
        <w:rPr>
          <w:lang w:eastAsia="hr-HR"/>
        </w:rPr>
        <w:t>ama</w:t>
      </w:r>
      <w:r w:rsidR="008F3280">
        <w:rPr>
          <w:lang w:eastAsia="hr-HR"/>
        </w:rPr>
        <w:t xml:space="preserve"> čl. 8. i 9. Pravilnika, jer je prema stavu ovog suda bilo </w:t>
      </w:r>
      <w:r w:rsidR="00652D2B">
        <w:rPr>
          <w:lang w:eastAsia="hr-HR"/>
        </w:rPr>
        <w:t>ne</w:t>
      </w:r>
      <w:r w:rsidR="008F3280">
        <w:rPr>
          <w:lang w:eastAsia="hr-HR"/>
        </w:rPr>
        <w:t>o</w:t>
      </w:r>
      <w:r w:rsidR="00652D2B">
        <w:rPr>
          <w:lang w:eastAsia="hr-HR"/>
        </w:rPr>
        <w:t>p</w:t>
      </w:r>
      <w:r w:rsidR="008F3280">
        <w:rPr>
          <w:lang w:eastAsia="hr-HR"/>
        </w:rPr>
        <w:t>hodno koristiti osobni automobil, budući da je ovaj sud utvrdio prema po</w:t>
      </w:r>
      <w:r w:rsidR="00652D2B">
        <w:rPr>
          <w:lang w:eastAsia="hr-HR"/>
        </w:rPr>
        <w:t>dacima dostupnim na I</w:t>
      </w:r>
      <w:r w:rsidR="008F3280">
        <w:rPr>
          <w:lang w:eastAsia="hr-HR"/>
        </w:rPr>
        <w:t xml:space="preserve">nternetu da nije bilo pogodnih sredstava javnog prometa kojima bi tuženik mogao u zakazano vrijeme doputovati na raspravu, a ukoliko bi putovanje trajalo duže od dva dana trebao bi </w:t>
      </w:r>
      <w:r w:rsidR="00652D2B">
        <w:rPr>
          <w:lang w:eastAsia="hr-HR"/>
        </w:rPr>
        <w:t>platiti i trošak noćenja, a što bi u toj situaciji zajedno sa putnim troškovima uzrokovalo znatno veće troškove pristupa na ročište.</w:t>
      </w:r>
    </w:p>
    <w:p w:rsidR="001F64DF" w:rsidRPr="00B80CCE" w:rsidRDefault="001F64DF" w:rsidP="00EA3418">
      <w:pPr>
        <w:autoSpaceDE w:val="0"/>
        <w:autoSpaceDN w:val="0"/>
        <w:adjustRightInd w:val="0"/>
        <w:rPr>
          <w:sz w:val="30"/>
          <w:szCs w:val="30"/>
          <w:lang w:eastAsia="hr-HR"/>
        </w:rPr>
      </w:pPr>
    </w:p>
    <w:p w:rsidR="001A35EC" w:rsidRDefault="001A35EC" w:rsidP="001A35EC">
      <w:pPr>
        <w:autoSpaceDE w:val="0"/>
        <w:autoSpaceDN w:val="0"/>
        <w:adjustRightInd w:val="0"/>
        <w:jc w:val="both"/>
      </w:pPr>
      <w:r>
        <w:rPr>
          <w:lang w:eastAsia="hr-HR"/>
        </w:rPr>
        <w:tab/>
        <w:t xml:space="preserve">Tuženiku nije priznat trošak sudske pristojbe za odgovor na tužbu, </w:t>
      </w:r>
      <w:r w:rsidR="00893335">
        <w:rPr>
          <w:lang w:eastAsia="hr-HR"/>
        </w:rPr>
        <w:t xml:space="preserve">budući da sudsku pristojbu na odgovor na tužbu sukladno odredbi čl. 4. </w:t>
      </w:r>
      <w:proofErr w:type="spellStart"/>
      <w:r w:rsidR="00893335">
        <w:rPr>
          <w:lang w:eastAsia="hr-HR"/>
        </w:rPr>
        <w:t>toč</w:t>
      </w:r>
      <w:proofErr w:type="spellEnd"/>
      <w:r w:rsidR="00893335">
        <w:rPr>
          <w:lang w:eastAsia="hr-HR"/>
        </w:rPr>
        <w:t xml:space="preserve">. 2. </w:t>
      </w:r>
      <w:r w:rsidR="00893335">
        <w:t>Zakona o sudskim pristojbama ("Narodne novine" broj 118/18., u daljnjem tekstu: ZSP) po pravomoćnom završetku postupka, s tim da se za svaku stranku određuje razmjerno uspjeh u parnici. Kako je tužitelj ovaj spor izgubio, on će biti u obvezi platiti sudsku pristojbu na odgovor na tužbu.</w:t>
      </w:r>
    </w:p>
    <w:p w:rsidR="00B80CCE" w:rsidRDefault="00B80CCE" w:rsidP="001A35EC">
      <w:pPr>
        <w:autoSpaceDE w:val="0"/>
        <w:autoSpaceDN w:val="0"/>
        <w:adjustRightInd w:val="0"/>
        <w:jc w:val="both"/>
        <w:rPr>
          <w:lang w:eastAsia="hr-HR"/>
        </w:rPr>
      </w:pPr>
    </w:p>
    <w:p w:rsidR="001F64DF" w:rsidRDefault="001A35EC" w:rsidP="001A35EC">
      <w:pPr>
        <w:autoSpaceDE w:val="0"/>
        <w:autoSpaceDN w:val="0"/>
        <w:adjustRightInd w:val="0"/>
        <w:jc w:val="both"/>
        <w:rPr>
          <w:lang w:eastAsia="hr-HR"/>
        </w:rPr>
      </w:pPr>
      <w:r>
        <w:rPr>
          <w:lang w:eastAsia="hr-HR"/>
        </w:rPr>
        <w:tab/>
        <w:t>Stoga je, na temelju odredbe čl. 154. st. 1. ZPP-a u vezi s odredbom čl. 155. ZPP-a naloženo tužitelju da tuženiku plati trošak postupka u iznosu od 13.184,00 kn u roku od 15 dana, te je odlučeno kao u izreci.</w:t>
      </w:r>
    </w:p>
    <w:p w:rsidR="00930B7C" w:rsidRDefault="00930B7C" w:rsidP="00D94012">
      <w:pPr>
        <w:pStyle w:val="t-98-2"/>
        <w:shd w:val="clear" w:color="auto" w:fill="FFFFFF"/>
        <w:spacing w:before="0" w:beforeAutospacing="0" w:after="0" w:afterAutospacing="0"/>
        <w:ind w:firstLine="342"/>
        <w:jc w:val="both"/>
        <w:textAlignment w:val="baseline"/>
      </w:pPr>
    </w:p>
    <w:p w:rsidR="00EE6D05" w:rsidRPr="00384A1B" w:rsidRDefault="00EE6D05" w:rsidP="00930B7C">
      <w:pPr>
        <w:pStyle w:val="t-98-2"/>
        <w:shd w:val="clear" w:color="auto" w:fill="FFFFFF"/>
        <w:spacing w:before="0" w:beforeAutospacing="0" w:after="0" w:afterAutospacing="0"/>
        <w:ind w:firstLine="709"/>
        <w:jc w:val="both"/>
        <w:textAlignment w:val="baseline"/>
      </w:pPr>
      <w:r w:rsidRPr="00384A1B">
        <w:t xml:space="preserve">Slijedom </w:t>
      </w:r>
      <w:r w:rsidR="0042222F" w:rsidRPr="00384A1B">
        <w:t xml:space="preserve">iznijetog, odlučeno je kao u izreci </w:t>
      </w:r>
      <w:r w:rsidRPr="00384A1B">
        <w:t>na temelju odredbe čl. 3</w:t>
      </w:r>
      <w:r w:rsidR="00EA4F2A" w:rsidRPr="00384A1B">
        <w:t xml:space="preserve">73. </w:t>
      </w:r>
      <w:proofErr w:type="spellStart"/>
      <w:r w:rsidR="00EA4F2A" w:rsidRPr="00384A1B">
        <w:t>toč</w:t>
      </w:r>
      <w:proofErr w:type="spellEnd"/>
      <w:r w:rsidR="00EA4F2A" w:rsidRPr="00384A1B">
        <w:t xml:space="preserve">. 3. </w:t>
      </w:r>
      <w:r w:rsidRPr="00384A1B">
        <w:t>ZPP-a</w:t>
      </w:r>
      <w:r w:rsidR="0042222F" w:rsidRPr="00384A1B">
        <w:t>.</w:t>
      </w:r>
    </w:p>
    <w:p w:rsidR="00EE6D05" w:rsidRPr="00384A1B" w:rsidRDefault="00EE6D05" w:rsidP="003E0111">
      <w:pPr>
        <w:jc w:val="both"/>
      </w:pPr>
    </w:p>
    <w:p w:rsidR="005D2808" w:rsidRPr="00384A1B" w:rsidRDefault="00B629C1" w:rsidP="005D2808">
      <w:pPr>
        <w:jc w:val="center"/>
      </w:pPr>
      <w:r w:rsidRPr="00384A1B">
        <w:t xml:space="preserve">Osijek, </w:t>
      </w:r>
      <w:r w:rsidR="00A72DE5" w:rsidRPr="00384A1B">
        <w:t>10. lipnja 2020</w:t>
      </w:r>
      <w:r w:rsidR="00A473DF" w:rsidRPr="00384A1B">
        <w:t xml:space="preserve">. </w:t>
      </w:r>
    </w:p>
    <w:p w:rsidR="00DB0192" w:rsidRPr="00384A1B" w:rsidRDefault="00DB0192" w:rsidP="00DB0192">
      <w:pPr>
        <w:tabs>
          <w:tab w:val="left" w:pos="5530"/>
        </w:tabs>
        <w:jc w:val="right"/>
      </w:pPr>
      <w:bookmarkStart w:id="0" w:name="_GoBack"/>
      <w:bookmarkEnd w:id="0"/>
      <w:r w:rsidRPr="00384A1B">
        <w:t xml:space="preserve">                                                                                                            </w:t>
      </w:r>
    </w:p>
    <w:tbl>
      <w:tblPr>
        <w:tblStyle w:val="Reetkatablice"/>
        <w:tblW w:w="9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9"/>
        <w:gridCol w:w="3159"/>
        <w:gridCol w:w="3159"/>
      </w:tblGrid>
      <w:tr w:rsidR="00046B82" w:rsidRPr="00384A1B" w:rsidTr="00477510">
        <w:trPr>
          <w:trHeight w:val="1071"/>
        </w:trPr>
        <w:tc>
          <w:tcPr>
            <w:tcW w:w="3159" w:type="dxa"/>
            <w:shd w:val="clear" w:color="auto" w:fill="auto"/>
          </w:tcPr>
          <w:p w:rsidR="00046B82" w:rsidRPr="00384A1B" w:rsidRDefault="00046B82" w:rsidP="00477510">
            <w:pPr>
              <w:jc w:val="center"/>
            </w:pPr>
          </w:p>
          <w:p w:rsidR="00046B82" w:rsidRPr="00384A1B" w:rsidRDefault="00046B82" w:rsidP="00477510">
            <w:pPr>
              <w:jc w:val="center"/>
            </w:pPr>
          </w:p>
        </w:tc>
        <w:tc>
          <w:tcPr>
            <w:tcW w:w="3159" w:type="dxa"/>
            <w:shd w:val="clear" w:color="auto" w:fill="auto"/>
          </w:tcPr>
          <w:p w:rsidR="00046B82" w:rsidRPr="00384A1B" w:rsidRDefault="00046B82" w:rsidP="00477510"/>
          <w:p w:rsidR="00046B82" w:rsidRPr="00384A1B" w:rsidRDefault="00046B82" w:rsidP="00477510"/>
        </w:tc>
        <w:tc>
          <w:tcPr>
            <w:tcW w:w="3159" w:type="dxa"/>
            <w:shd w:val="clear" w:color="auto" w:fill="auto"/>
          </w:tcPr>
          <w:p w:rsidR="00046B82" w:rsidRPr="00384A1B" w:rsidRDefault="00046B82" w:rsidP="00477510">
            <w:pPr>
              <w:jc w:val="center"/>
            </w:pPr>
          </w:p>
          <w:p w:rsidR="00046B82" w:rsidRPr="00384A1B" w:rsidRDefault="00046B82" w:rsidP="00477510">
            <w:pPr>
              <w:jc w:val="center"/>
            </w:pPr>
            <w:r w:rsidRPr="00384A1B">
              <w:t>Predsjednica vijeća</w:t>
            </w:r>
          </w:p>
          <w:p w:rsidR="00046B82" w:rsidRPr="00384A1B" w:rsidRDefault="00046B82" w:rsidP="00477510">
            <w:pPr>
              <w:jc w:val="center"/>
            </w:pPr>
            <w:r w:rsidRPr="00384A1B">
              <w:t>Marijana Žigić</w:t>
            </w:r>
          </w:p>
        </w:tc>
      </w:tr>
    </w:tbl>
    <w:p w:rsidR="00046B82" w:rsidRDefault="00046B82" w:rsidP="00046B82"/>
    <w:p w:rsidR="00B0385E" w:rsidRPr="00384A1B" w:rsidRDefault="00B0385E" w:rsidP="00046B82"/>
    <w:sectPr w:rsidR="00B0385E" w:rsidRPr="00384A1B" w:rsidSect="00AE5A0D">
      <w:headerReference w:type="even" r:id="rId10"/>
      <w:headerReference w:type="default" r:id="rId11"/>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C6" w:rsidRDefault="00824FC6">
      <w:r>
        <w:separator/>
      </w:r>
    </w:p>
  </w:endnote>
  <w:endnote w:type="continuationSeparator" w:id="0">
    <w:p w:rsidR="00824FC6" w:rsidRDefault="0082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C6" w:rsidRDefault="00824FC6">
      <w:r>
        <w:separator/>
      </w:r>
    </w:p>
  </w:footnote>
  <w:footnote w:type="continuationSeparator" w:id="0">
    <w:p w:rsidR="00824FC6" w:rsidRDefault="00824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57" w:rsidRDefault="00DA5C57" w:rsidP="004D42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DA5C57" w:rsidRDefault="00DA5C5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57" w:rsidRDefault="00DA5C57" w:rsidP="004D42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F31B68">
      <w:rPr>
        <w:rStyle w:val="Brojstranice"/>
        <w:noProof/>
      </w:rPr>
      <w:t>5</w:t>
    </w:r>
    <w:r>
      <w:rPr>
        <w:rStyle w:val="Brojstranice"/>
      </w:rPr>
      <w:fldChar w:fldCharType="end"/>
    </w:r>
  </w:p>
  <w:p w:rsidR="00754A20" w:rsidRDefault="00754A20" w:rsidP="00754A20">
    <w:pPr>
      <w:ind w:firstLine="720"/>
      <w:jc w:val="right"/>
    </w:pPr>
    <w:r w:rsidRPr="00B72FA7">
      <w:t xml:space="preserve">Poslovni broj </w:t>
    </w:r>
    <w:proofErr w:type="spellStart"/>
    <w:r>
      <w:t>Gž</w:t>
    </w:r>
    <w:proofErr w:type="spellEnd"/>
    <w:r>
      <w:t>-</w:t>
    </w:r>
    <w:r w:rsidR="00EE6BDD">
      <w:t>3241</w:t>
    </w:r>
    <w:r w:rsidR="0084724C">
      <w:t>/2019-2</w:t>
    </w:r>
  </w:p>
  <w:p w:rsidR="00DA5C57" w:rsidRDefault="00DA5C57" w:rsidP="00754A20">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84C"/>
    <w:multiLevelType w:val="hybridMultilevel"/>
    <w:tmpl w:val="ED36E32C"/>
    <w:lvl w:ilvl="0" w:tplc="264459BC">
      <w:start w:val="2"/>
      <w:numFmt w:val="lowerLetter"/>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
    <w:nsid w:val="1E8B7B62"/>
    <w:multiLevelType w:val="hybridMultilevel"/>
    <w:tmpl w:val="5D806760"/>
    <w:lvl w:ilvl="0" w:tplc="2EFAA774">
      <w:start w:val="1"/>
      <w:numFmt w:val="upperRoman"/>
      <w:lvlText w:val="%1."/>
      <w:lvlJc w:val="left"/>
      <w:pPr>
        <w:tabs>
          <w:tab w:val="num" w:pos="1080"/>
        </w:tabs>
        <w:ind w:left="1080" w:hanging="720"/>
      </w:pPr>
      <w:rPr>
        <w:rFonts w:hint="default"/>
      </w:rPr>
    </w:lvl>
    <w:lvl w:ilvl="1" w:tplc="2708AE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41546448"/>
    <w:multiLevelType w:val="hybridMultilevel"/>
    <w:tmpl w:val="58F07D88"/>
    <w:lvl w:ilvl="0" w:tplc="81CE51E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52362A16"/>
    <w:multiLevelType w:val="hybridMultilevel"/>
    <w:tmpl w:val="F98AB0A0"/>
    <w:lvl w:ilvl="0" w:tplc="88D26194">
      <w:start w:val="1"/>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nsid w:val="611D6099"/>
    <w:multiLevelType w:val="hybridMultilevel"/>
    <w:tmpl w:val="8CDC41EE"/>
    <w:lvl w:ilvl="0" w:tplc="61185A10">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nsid w:val="7CDB298E"/>
    <w:multiLevelType w:val="hybridMultilevel"/>
    <w:tmpl w:val="4F3E701A"/>
    <w:lvl w:ilvl="0" w:tplc="D8C0C4EC">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nsid w:val="7D143662"/>
    <w:multiLevelType w:val="hybridMultilevel"/>
    <w:tmpl w:val="117C1BFE"/>
    <w:lvl w:ilvl="0" w:tplc="52F01384">
      <w:numFmt w:val="bullet"/>
      <w:lvlText w:val="-"/>
      <w:lvlJc w:val="left"/>
      <w:pPr>
        <w:ind w:left="1065" w:hanging="360"/>
      </w:pPr>
      <w:rPr>
        <w:rFonts w:ascii="Times New Roman" w:eastAsia="Calibr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nsid w:val="7EEB59D2"/>
    <w:multiLevelType w:val="hybridMultilevel"/>
    <w:tmpl w:val="7320325E"/>
    <w:lvl w:ilvl="0" w:tplc="205271BA">
      <w:start w:val="1"/>
      <w:numFmt w:val="upperRoman"/>
      <w:lvlText w:val="%1."/>
      <w:lvlJc w:val="left"/>
      <w:pPr>
        <w:tabs>
          <w:tab w:val="num" w:pos="1428"/>
        </w:tabs>
        <w:ind w:left="1428" w:hanging="72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7"/>
  </w:num>
  <w:num w:numId="2">
    <w:abstractNumId w:val="0"/>
  </w:num>
  <w:num w:numId="3">
    <w:abstractNumId w:val="1"/>
  </w:num>
  <w:num w:numId="4">
    <w:abstractNumId w:val="6"/>
  </w:num>
  <w:num w:numId="5">
    <w:abstractNumId w:val="5"/>
  </w:num>
  <w:num w:numId="6">
    <w:abstractNumId w:val="3"/>
  </w:num>
  <w:num w:numId="7">
    <w:abstractNumId w:val="2"/>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75"/>
    <w:rsid w:val="00005F63"/>
    <w:rsid w:val="0002004C"/>
    <w:rsid w:val="000219DD"/>
    <w:rsid w:val="00033344"/>
    <w:rsid w:val="00042DE3"/>
    <w:rsid w:val="00045CFD"/>
    <w:rsid w:val="00046B82"/>
    <w:rsid w:val="00051EFB"/>
    <w:rsid w:val="0005537E"/>
    <w:rsid w:val="00064DE1"/>
    <w:rsid w:val="000708F4"/>
    <w:rsid w:val="00070A7E"/>
    <w:rsid w:val="00071D8A"/>
    <w:rsid w:val="0007264A"/>
    <w:rsid w:val="0007458E"/>
    <w:rsid w:val="00074B54"/>
    <w:rsid w:val="000852E8"/>
    <w:rsid w:val="000922D0"/>
    <w:rsid w:val="00092FAA"/>
    <w:rsid w:val="00094D5A"/>
    <w:rsid w:val="00095B98"/>
    <w:rsid w:val="000B6F49"/>
    <w:rsid w:val="000C19AA"/>
    <w:rsid w:val="000C40AD"/>
    <w:rsid w:val="000D053A"/>
    <w:rsid w:val="000D15B8"/>
    <w:rsid w:val="000D34D0"/>
    <w:rsid w:val="000E3920"/>
    <w:rsid w:val="000E7CC3"/>
    <w:rsid w:val="000F510D"/>
    <w:rsid w:val="0010103E"/>
    <w:rsid w:val="00101AA3"/>
    <w:rsid w:val="00101E1F"/>
    <w:rsid w:val="00104380"/>
    <w:rsid w:val="00111457"/>
    <w:rsid w:val="001244A8"/>
    <w:rsid w:val="001257FE"/>
    <w:rsid w:val="00126DCE"/>
    <w:rsid w:val="001322B2"/>
    <w:rsid w:val="00133F43"/>
    <w:rsid w:val="0013491F"/>
    <w:rsid w:val="0014359D"/>
    <w:rsid w:val="0016064E"/>
    <w:rsid w:val="00170546"/>
    <w:rsid w:val="001737EF"/>
    <w:rsid w:val="0018610D"/>
    <w:rsid w:val="0018694A"/>
    <w:rsid w:val="00194364"/>
    <w:rsid w:val="00194D77"/>
    <w:rsid w:val="00195634"/>
    <w:rsid w:val="001A35EC"/>
    <w:rsid w:val="001A57B6"/>
    <w:rsid w:val="001A727B"/>
    <w:rsid w:val="001B0A2E"/>
    <w:rsid w:val="001B3757"/>
    <w:rsid w:val="001B7D93"/>
    <w:rsid w:val="001C5A2A"/>
    <w:rsid w:val="001D6BCC"/>
    <w:rsid w:val="001F64DF"/>
    <w:rsid w:val="0020149D"/>
    <w:rsid w:val="00202051"/>
    <w:rsid w:val="00206FE3"/>
    <w:rsid w:val="0021186B"/>
    <w:rsid w:val="00211D58"/>
    <w:rsid w:val="0021226E"/>
    <w:rsid w:val="00213CD9"/>
    <w:rsid w:val="00221AA9"/>
    <w:rsid w:val="00235742"/>
    <w:rsid w:val="002373A4"/>
    <w:rsid w:val="00240297"/>
    <w:rsid w:val="00244B79"/>
    <w:rsid w:val="00251859"/>
    <w:rsid w:val="002574AA"/>
    <w:rsid w:val="00271D9D"/>
    <w:rsid w:val="0027746B"/>
    <w:rsid w:val="002831C4"/>
    <w:rsid w:val="00287865"/>
    <w:rsid w:val="0029477C"/>
    <w:rsid w:val="002A0291"/>
    <w:rsid w:val="002A4E96"/>
    <w:rsid w:val="002A6477"/>
    <w:rsid w:val="002C26A8"/>
    <w:rsid w:val="002D155A"/>
    <w:rsid w:val="002D2C7E"/>
    <w:rsid w:val="002E1237"/>
    <w:rsid w:val="002E42FD"/>
    <w:rsid w:val="002F3874"/>
    <w:rsid w:val="002F3C37"/>
    <w:rsid w:val="002F721C"/>
    <w:rsid w:val="002F7AC3"/>
    <w:rsid w:val="0030093E"/>
    <w:rsid w:val="00305883"/>
    <w:rsid w:val="00310DD8"/>
    <w:rsid w:val="00312A7E"/>
    <w:rsid w:val="00314A58"/>
    <w:rsid w:val="00324224"/>
    <w:rsid w:val="003260FC"/>
    <w:rsid w:val="00327CEF"/>
    <w:rsid w:val="00332097"/>
    <w:rsid w:val="00332A45"/>
    <w:rsid w:val="00333985"/>
    <w:rsid w:val="00337DE1"/>
    <w:rsid w:val="00337E24"/>
    <w:rsid w:val="00342B83"/>
    <w:rsid w:val="00350C1C"/>
    <w:rsid w:val="003522FA"/>
    <w:rsid w:val="003562A2"/>
    <w:rsid w:val="00365679"/>
    <w:rsid w:val="00365A8B"/>
    <w:rsid w:val="00366E91"/>
    <w:rsid w:val="00372C7F"/>
    <w:rsid w:val="0037303D"/>
    <w:rsid w:val="00384359"/>
    <w:rsid w:val="00384A1B"/>
    <w:rsid w:val="003A2B0A"/>
    <w:rsid w:val="003A380A"/>
    <w:rsid w:val="003A3DBC"/>
    <w:rsid w:val="003C080E"/>
    <w:rsid w:val="003C4791"/>
    <w:rsid w:val="003D2832"/>
    <w:rsid w:val="003D66CC"/>
    <w:rsid w:val="003E0111"/>
    <w:rsid w:val="003E5A4E"/>
    <w:rsid w:val="003E6517"/>
    <w:rsid w:val="003E6FEE"/>
    <w:rsid w:val="003F6A96"/>
    <w:rsid w:val="003F7AEE"/>
    <w:rsid w:val="0040025F"/>
    <w:rsid w:val="00400B33"/>
    <w:rsid w:val="004038C3"/>
    <w:rsid w:val="00404B55"/>
    <w:rsid w:val="00410BA5"/>
    <w:rsid w:val="0041614D"/>
    <w:rsid w:val="0042222F"/>
    <w:rsid w:val="00431CD9"/>
    <w:rsid w:val="00432EEA"/>
    <w:rsid w:val="004408AC"/>
    <w:rsid w:val="00443348"/>
    <w:rsid w:val="004547C4"/>
    <w:rsid w:val="004556C9"/>
    <w:rsid w:val="00461E68"/>
    <w:rsid w:val="00463EE8"/>
    <w:rsid w:val="00474723"/>
    <w:rsid w:val="004803C7"/>
    <w:rsid w:val="0048282B"/>
    <w:rsid w:val="00485883"/>
    <w:rsid w:val="00485DD3"/>
    <w:rsid w:val="00487FC9"/>
    <w:rsid w:val="00493198"/>
    <w:rsid w:val="00497603"/>
    <w:rsid w:val="004A30B1"/>
    <w:rsid w:val="004A55D1"/>
    <w:rsid w:val="004B0180"/>
    <w:rsid w:val="004B0FB2"/>
    <w:rsid w:val="004B37B4"/>
    <w:rsid w:val="004B4386"/>
    <w:rsid w:val="004C06AC"/>
    <w:rsid w:val="004C1926"/>
    <w:rsid w:val="004C2529"/>
    <w:rsid w:val="004C56D2"/>
    <w:rsid w:val="004C5FFD"/>
    <w:rsid w:val="004D42B3"/>
    <w:rsid w:val="004D489E"/>
    <w:rsid w:val="004E0462"/>
    <w:rsid w:val="004E52EA"/>
    <w:rsid w:val="004E7F0E"/>
    <w:rsid w:val="00502065"/>
    <w:rsid w:val="00505B40"/>
    <w:rsid w:val="005117F7"/>
    <w:rsid w:val="0051512D"/>
    <w:rsid w:val="005157AB"/>
    <w:rsid w:val="00516FC4"/>
    <w:rsid w:val="005244E2"/>
    <w:rsid w:val="005365C0"/>
    <w:rsid w:val="00543136"/>
    <w:rsid w:val="00543B3F"/>
    <w:rsid w:val="00552988"/>
    <w:rsid w:val="00552F7B"/>
    <w:rsid w:val="00557244"/>
    <w:rsid w:val="00571C88"/>
    <w:rsid w:val="00572ABA"/>
    <w:rsid w:val="00580A41"/>
    <w:rsid w:val="00581395"/>
    <w:rsid w:val="00582637"/>
    <w:rsid w:val="005829A2"/>
    <w:rsid w:val="005857F5"/>
    <w:rsid w:val="00585D24"/>
    <w:rsid w:val="0059471F"/>
    <w:rsid w:val="005A1891"/>
    <w:rsid w:val="005A40C3"/>
    <w:rsid w:val="005C132A"/>
    <w:rsid w:val="005C21E1"/>
    <w:rsid w:val="005C5A6E"/>
    <w:rsid w:val="005D0C3E"/>
    <w:rsid w:val="005D2808"/>
    <w:rsid w:val="005D4EE2"/>
    <w:rsid w:val="005D578F"/>
    <w:rsid w:val="005D79F7"/>
    <w:rsid w:val="005E1FEA"/>
    <w:rsid w:val="005E7FB2"/>
    <w:rsid w:val="005F2632"/>
    <w:rsid w:val="005F54B4"/>
    <w:rsid w:val="00604DCD"/>
    <w:rsid w:val="00610CF1"/>
    <w:rsid w:val="006132EE"/>
    <w:rsid w:val="00614E54"/>
    <w:rsid w:val="0062635A"/>
    <w:rsid w:val="00626A04"/>
    <w:rsid w:val="006306D3"/>
    <w:rsid w:val="006316CC"/>
    <w:rsid w:val="00641387"/>
    <w:rsid w:val="0064725C"/>
    <w:rsid w:val="00647C09"/>
    <w:rsid w:val="00652973"/>
    <w:rsid w:val="00652D2B"/>
    <w:rsid w:val="006545FA"/>
    <w:rsid w:val="00656C1F"/>
    <w:rsid w:val="00670CD4"/>
    <w:rsid w:val="00674307"/>
    <w:rsid w:val="00682300"/>
    <w:rsid w:val="00694D35"/>
    <w:rsid w:val="006A1DE3"/>
    <w:rsid w:val="006A2207"/>
    <w:rsid w:val="006A593E"/>
    <w:rsid w:val="006B7686"/>
    <w:rsid w:val="006C553C"/>
    <w:rsid w:val="006D1779"/>
    <w:rsid w:val="006D17D3"/>
    <w:rsid w:val="006D301F"/>
    <w:rsid w:val="006D3052"/>
    <w:rsid w:val="006E5F42"/>
    <w:rsid w:val="006F1ED3"/>
    <w:rsid w:val="006F1FD2"/>
    <w:rsid w:val="00701DDF"/>
    <w:rsid w:val="0070640D"/>
    <w:rsid w:val="007172B5"/>
    <w:rsid w:val="0072175B"/>
    <w:rsid w:val="00723310"/>
    <w:rsid w:val="00732EB9"/>
    <w:rsid w:val="007337E1"/>
    <w:rsid w:val="00735252"/>
    <w:rsid w:val="0074476D"/>
    <w:rsid w:val="00754A20"/>
    <w:rsid w:val="0075670B"/>
    <w:rsid w:val="00757799"/>
    <w:rsid w:val="00767AEF"/>
    <w:rsid w:val="00773345"/>
    <w:rsid w:val="007742DB"/>
    <w:rsid w:val="00780708"/>
    <w:rsid w:val="00796B8F"/>
    <w:rsid w:val="007A5E9D"/>
    <w:rsid w:val="007A716D"/>
    <w:rsid w:val="007C220D"/>
    <w:rsid w:val="007E04A2"/>
    <w:rsid w:val="007E06ED"/>
    <w:rsid w:val="007E44D1"/>
    <w:rsid w:val="007E6663"/>
    <w:rsid w:val="007E7828"/>
    <w:rsid w:val="007F5266"/>
    <w:rsid w:val="0080109D"/>
    <w:rsid w:val="00801794"/>
    <w:rsid w:val="00803259"/>
    <w:rsid w:val="00805A0B"/>
    <w:rsid w:val="00817BBB"/>
    <w:rsid w:val="00824FC6"/>
    <w:rsid w:val="00835014"/>
    <w:rsid w:val="00837F22"/>
    <w:rsid w:val="008408B9"/>
    <w:rsid w:val="00840D76"/>
    <w:rsid w:val="0084724C"/>
    <w:rsid w:val="00862A52"/>
    <w:rsid w:val="008706B6"/>
    <w:rsid w:val="008756D4"/>
    <w:rsid w:val="00875F05"/>
    <w:rsid w:val="008765BC"/>
    <w:rsid w:val="00881D21"/>
    <w:rsid w:val="008914BC"/>
    <w:rsid w:val="00893335"/>
    <w:rsid w:val="008A0060"/>
    <w:rsid w:val="008A555D"/>
    <w:rsid w:val="008B2427"/>
    <w:rsid w:val="008B2544"/>
    <w:rsid w:val="008B35CD"/>
    <w:rsid w:val="008B4C73"/>
    <w:rsid w:val="008B5608"/>
    <w:rsid w:val="008C3EA1"/>
    <w:rsid w:val="008C3FC9"/>
    <w:rsid w:val="008D3597"/>
    <w:rsid w:val="008E06D3"/>
    <w:rsid w:val="008E1089"/>
    <w:rsid w:val="008E5924"/>
    <w:rsid w:val="008E6B11"/>
    <w:rsid w:val="008F3280"/>
    <w:rsid w:val="00912034"/>
    <w:rsid w:val="00913A1F"/>
    <w:rsid w:val="00914CDA"/>
    <w:rsid w:val="00917609"/>
    <w:rsid w:val="009178EF"/>
    <w:rsid w:val="00930B7C"/>
    <w:rsid w:val="00931770"/>
    <w:rsid w:val="00931D2D"/>
    <w:rsid w:val="0093348F"/>
    <w:rsid w:val="00936944"/>
    <w:rsid w:val="00940E75"/>
    <w:rsid w:val="009614CD"/>
    <w:rsid w:val="00961DD6"/>
    <w:rsid w:val="00964B8A"/>
    <w:rsid w:val="00971CEE"/>
    <w:rsid w:val="009730F7"/>
    <w:rsid w:val="009753B1"/>
    <w:rsid w:val="00981163"/>
    <w:rsid w:val="00984F8E"/>
    <w:rsid w:val="009852D8"/>
    <w:rsid w:val="009A481F"/>
    <w:rsid w:val="009A6B4A"/>
    <w:rsid w:val="009B2231"/>
    <w:rsid w:val="009B678B"/>
    <w:rsid w:val="009B7DF0"/>
    <w:rsid w:val="009C5D17"/>
    <w:rsid w:val="009C765A"/>
    <w:rsid w:val="009D6F35"/>
    <w:rsid w:val="009D716E"/>
    <w:rsid w:val="009E1604"/>
    <w:rsid w:val="009F4FF0"/>
    <w:rsid w:val="00A018A6"/>
    <w:rsid w:val="00A04134"/>
    <w:rsid w:val="00A12921"/>
    <w:rsid w:val="00A405F1"/>
    <w:rsid w:val="00A4414D"/>
    <w:rsid w:val="00A45340"/>
    <w:rsid w:val="00A473DF"/>
    <w:rsid w:val="00A54080"/>
    <w:rsid w:val="00A54DB4"/>
    <w:rsid w:val="00A57D8C"/>
    <w:rsid w:val="00A60218"/>
    <w:rsid w:val="00A608E5"/>
    <w:rsid w:val="00A63687"/>
    <w:rsid w:val="00A72DE5"/>
    <w:rsid w:val="00A7565D"/>
    <w:rsid w:val="00A7786C"/>
    <w:rsid w:val="00A77F05"/>
    <w:rsid w:val="00A92606"/>
    <w:rsid w:val="00AA058B"/>
    <w:rsid w:val="00AA29E1"/>
    <w:rsid w:val="00AA4435"/>
    <w:rsid w:val="00AA718E"/>
    <w:rsid w:val="00AB697F"/>
    <w:rsid w:val="00AC0858"/>
    <w:rsid w:val="00AD1B05"/>
    <w:rsid w:val="00AD4CEE"/>
    <w:rsid w:val="00AE3B69"/>
    <w:rsid w:val="00AE3F4B"/>
    <w:rsid w:val="00AE5A0D"/>
    <w:rsid w:val="00B00270"/>
    <w:rsid w:val="00B01076"/>
    <w:rsid w:val="00B0385E"/>
    <w:rsid w:val="00B075F9"/>
    <w:rsid w:val="00B07D96"/>
    <w:rsid w:val="00B257B2"/>
    <w:rsid w:val="00B30662"/>
    <w:rsid w:val="00B403CA"/>
    <w:rsid w:val="00B40A38"/>
    <w:rsid w:val="00B4263C"/>
    <w:rsid w:val="00B51E64"/>
    <w:rsid w:val="00B6145B"/>
    <w:rsid w:val="00B629C1"/>
    <w:rsid w:val="00B63C5F"/>
    <w:rsid w:val="00B6435C"/>
    <w:rsid w:val="00B80CCE"/>
    <w:rsid w:val="00B8196B"/>
    <w:rsid w:val="00B93AA6"/>
    <w:rsid w:val="00BC1E0E"/>
    <w:rsid w:val="00BC30AF"/>
    <w:rsid w:val="00BC6140"/>
    <w:rsid w:val="00BD5DB3"/>
    <w:rsid w:val="00BD722D"/>
    <w:rsid w:val="00BE0C5B"/>
    <w:rsid w:val="00BE7288"/>
    <w:rsid w:val="00BF0EB9"/>
    <w:rsid w:val="00BF2C28"/>
    <w:rsid w:val="00BF495F"/>
    <w:rsid w:val="00BF4F7C"/>
    <w:rsid w:val="00BF7518"/>
    <w:rsid w:val="00C163AC"/>
    <w:rsid w:val="00C16FB2"/>
    <w:rsid w:val="00C227F2"/>
    <w:rsid w:val="00C24DFD"/>
    <w:rsid w:val="00C2561B"/>
    <w:rsid w:val="00C30B94"/>
    <w:rsid w:val="00C336E8"/>
    <w:rsid w:val="00C36FD4"/>
    <w:rsid w:val="00C37951"/>
    <w:rsid w:val="00C50730"/>
    <w:rsid w:val="00C50E46"/>
    <w:rsid w:val="00C626BC"/>
    <w:rsid w:val="00C66F35"/>
    <w:rsid w:val="00C734C5"/>
    <w:rsid w:val="00C73BA6"/>
    <w:rsid w:val="00C77883"/>
    <w:rsid w:val="00C83ADF"/>
    <w:rsid w:val="00C8604A"/>
    <w:rsid w:val="00C95956"/>
    <w:rsid w:val="00C97E18"/>
    <w:rsid w:val="00CA04CA"/>
    <w:rsid w:val="00CA0AB0"/>
    <w:rsid w:val="00CA14BD"/>
    <w:rsid w:val="00CA61DB"/>
    <w:rsid w:val="00CA7D09"/>
    <w:rsid w:val="00CB2D83"/>
    <w:rsid w:val="00CC0D88"/>
    <w:rsid w:val="00CC12FE"/>
    <w:rsid w:val="00CC2E6E"/>
    <w:rsid w:val="00CC323F"/>
    <w:rsid w:val="00CC77DE"/>
    <w:rsid w:val="00CF43F9"/>
    <w:rsid w:val="00D057FB"/>
    <w:rsid w:val="00D10BA6"/>
    <w:rsid w:val="00D1156C"/>
    <w:rsid w:val="00D1301D"/>
    <w:rsid w:val="00D216BE"/>
    <w:rsid w:val="00D25E45"/>
    <w:rsid w:val="00D50AD9"/>
    <w:rsid w:val="00D52007"/>
    <w:rsid w:val="00D6540E"/>
    <w:rsid w:val="00D6707F"/>
    <w:rsid w:val="00D77FEC"/>
    <w:rsid w:val="00D8595B"/>
    <w:rsid w:val="00D90A9D"/>
    <w:rsid w:val="00D94012"/>
    <w:rsid w:val="00D95185"/>
    <w:rsid w:val="00D974A3"/>
    <w:rsid w:val="00DA5C57"/>
    <w:rsid w:val="00DB0192"/>
    <w:rsid w:val="00DB1072"/>
    <w:rsid w:val="00DB15B8"/>
    <w:rsid w:val="00DB371E"/>
    <w:rsid w:val="00DC4991"/>
    <w:rsid w:val="00DD060F"/>
    <w:rsid w:val="00DD22F5"/>
    <w:rsid w:val="00DD34A1"/>
    <w:rsid w:val="00DE14CE"/>
    <w:rsid w:val="00DF0B93"/>
    <w:rsid w:val="00DF2DB3"/>
    <w:rsid w:val="00E01E10"/>
    <w:rsid w:val="00E1149C"/>
    <w:rsid w:val="00E13CAA"/>
    <w:rsid w:val="00E165D4"/>
    <w:rsid w:val="00E215A7"/>
    <w:rsid w:val="00E24FED"/>
    <w:rsid w:val="00E55C9E"/>
    <w:rsid w:val="00E62681"/>
    <w:rsid w:val="00E656CA"/>
    <w:rsid w:val="00E76294"/>
    <w:rsid w:val="00E83A7F"/>
    <w:rsid w:val="00E83FD7"/>
    <w:rsid w:val="00E86DD7"/>
    <w:rsid w:val="00E9200E"/>
    <w:rsid w:val="00E933C7"/>
    <w:rsid w:val="00E96AE6"/>
    <w:rsid w:val="00E973EF"/>
    <w:rsid w:val="00EA3418"/>
    <w:rsid w:val="00EA4F2A"/>
    <w:rsid w:val="00EA58FD"/>
    <w:rsid w:val="00ED0539"/>
    <w:rsid w:val="00ED0D9C"/>
    <w:rsid w:val="00ED2684"/>
    <w:rsid w:val="00ED3FD5"/>
    <w:rsid w:val="00ED6CE0"/>
    <w:rsid w:val="00EE0F44"/>
    <w:rsid w:val="00EE6BDD"/>
    <w:rsid w:val="00EE6D05"/>
    <w:rsid w:val="00EF0FAA"/>
    <w:rsid w:val="00EF1C9C"/>
    <w:rsid w:val="00EF537C"/>
    <w:rsid w:val="00F149BB"/>
    <w:rsid w:val="00F1641D"/>
    <w:rsid w:val="00F201C1"/>
    <w:rsid w:val="00F20275"/>
    <w:rsid w:val="00F21311"/>
    <w:rsid w:val="00F24D9A"/>
    <w:rsid w:val="00F27632"/>
    <w:rsid w:val="00F3008B"/>
    <w:rsid w:val="00F31B68"/>
    <w:rsid w:val="00F321DE"/>
    <w:rsid w:val="00F35705"/>
    <w:rsid w:val="00F416DD"/>
    <w:rsid w:val="00F4259D"/>
    <w:rsid w:val="00F439F8"/>
    <w:rsid w:val="00F452FB"/>
    <w:rsid w:val="00F62D78"/>
    <w:rsid w:val="00F637A8"/>
    <w:rsid w:val="00F6642D"/>
    <w:rsid w:val="00F7046A"/>
    <w:rsid w:val="00F723D8"/>
    <w:rsid w:val="00F74023"/>
    <w:rsid w:val="00F91D83"/>
    <w:rsid w:val="00F9219B"/>
    <w:rsid w:val="00F930AA"/>
    <w:rsid w:val="00F939DF"/>
    <w:rsid w:val="00FA65CD"/>
    <w:rsid w:val="00FB3BF5"/>
    <w:rsid w:val="00FD53F7"/>
    <w:rsid w:val="00FE3184"/>
    <w:rsid w:val="00FE3296"/>
    <w:rsid w:val="00FF1B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6CA"/>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F20275"/>
    <w:pPr>
      <w:tabs>
        <w:tab w:val="center" w:pos="4536"/>
        <w:tab w:val="right" w:pos="9072"/>
      </w:tabs>
    </w:pPr>
  </w:style>
  <w:style w:type="character" w:styleId="Brojstranice">
    <w:name w:val="page number"/>
    <w:basedOn w:val="Zadanifontodlomka"/>
    <w:rsid w:val="00F20275"/>
  </w:style>
  <w:style w:type="paragraph" w:styleId="Tijeloteksta">
    <w:name w:val="Body Text"/>
    <w:basedOn w:val="Normal"/>
    <w:rsid w:val="00F20275"/>
    <w:pPr>
      <w:spacing w:after="120"/>
    </w:pPr>
  </w:style>
  <w:style w:type="paragraph" w:styleId="Tekstbalonia">
    <w:name w:val="Balloon Text"/>
    <w:basedOn w:val="Normal"/>
    <w:semiHidden/>
    <w:rsid w:val="00DD060F"/>
    <w:rPr>
      <w:rFonts w:ascii="Tahoma" w:hAnsi="Tahoma" w:cs="Tahoma"/>
      <w:sz w:val="16"/>
      <w:szCs w:val="16"/>
    </w:rPr>
  </w:style>
  <w:style w:type="table" w:styleId="Reetkatablice">
    <w:name w:val="Table Grid"/>
    <w:basedOn w:val="Obinatablica"/>
    <w:rsid w:val="00C3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rsid w:val="00D057FB"/>
    <w:pPr>
      <w:tabs>
        <w:tab w:val="center" w:pos="4320"/>
        <w:tab w:val="right" w:pos="8640"/>
      </w:tabs>
    </w:pPr>
  </w:style>
  <w:style w:type="paragraph" w:customStyle="1" w:styleId="VSVerzija">
    <w:name w:val="VS_Verzija"/>
    <w:basedOn w:val="Normal"/>
    <w:rsid w:val="00754A20"/>
    <w:pPr>
      <w:jc w:val="both"/>
    </w:pPr>
    <w:rPr>
      <w:lang w:eastAsia="hr-HR"/>
    </w:rPr>
  </w:style>
  <w:style w:type="paragraph" w:styleId="Odlomakpopisa">
    <w:name w:val="List Paragraph"/>
    <w:basedOn w:val="Normal"/>
    <w:uiPriority w:val="34"/>
    <w:qFormat/>
    <w:rsid w:val="00045CFD"/>
    <w:pPr>
      <w:ind w:left="720"/>
      <w:contextualSpacing/>
    </w:pPr>
  </w:style>
  <w:style w:type="paragraph" w:customStyle="1" w:styleId="t-98-2">
    <w:name w:val="t-98-2"/>
    <w:basedOn w:val="Normal"/>
    <w:rsid w:val="006A593E"/>
    <w:pPr>
      <w:spacing w:before="100" w:beforeAutospacing="1" w:after="100" w:afterAutospacing="1"/>
    </w:pPr>
    <w:rPr>
      <w:lang w:eastAsia="hr-HR"/>
    </w:rPr>
  </w:style>
  <w:style w:type="character" w:styleId="Istaknuto">
    <w:name w:val="Emphasis"/>
    <w:qFormat/>
    <w:rsid w:val="00312A7E"/>
    <w:rPr>
      <w:i/>
      <w:iCs/>
    </w:rPr>
  </w:style>
  <w:style w:type="character" w:styleId="Naglaeno">
    <w:name w:val="Strong"/>
    <w:qFormat/>
    <w:rsid w:val="001869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6CA"/>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F20275"/>
    <w:pPr>
      <w:tabs>
        <w:tab w:val="center" w:pos="4536"/>
        <w:tab w:val="right" w:pos="9072"/>
      </w:tabs>
    </w:pPr>
  </w:style>
  <w:style w:type="character" w:styleId="Brojstranice">
    <w:name w:val="page number"/>
    <w:basedOn w:val="Zadanifontodlomka"/>
    <w:rsid w:val="00F20275"/>
  </w:style>
  <w:style w:type="paragraph" w:styleId="Tijeloteksta">
    <w:name w:val="Body Text"/>
    <w:basedOn w:val="Normal"/>
    <w:rsid w:val="00F20275"/>
    <w:pPr>
      <w:spacing w:after="120"/>
    </w:pPr>
  </w:style>
  <w:style w:type="paragraph" w:styleId="Tekstbalonia">
    <w:name w:val="Balloon Text"/>
    <w:basedOn w:val="Normal"/>
    <w:semiHidden/>
    <w:rsid w:val="00DD060F"/>
    <w:rPr>
      <w:rFonts w:ascii="Tahoma" w:hAnsi="Tahoma" w:cs="Tahoma"/>
      <w:sz w:val="16"/>
      <w:szCs w:val="16"/>
    </w:rPr>
  </w:style>
  <w:style w:type="table" w:styleId="Reetkatablice">
    <w:name w:val="Table Grid"/>
    <w:basedOn w:val="Obinatablica"/>
    <w:rsid w:val="00C3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rsid w:val="00D057FB"/>
    <w:pPr>
      <w:tabs>
        <w:tab w:val="center" w:pos="4320"/>
        <w:tab w:val="right" w:pos="8640"/>
      </w:tabs>
    </w:pPr>
  </w:style>
  <w:style w:type="paragraph" w:customStyle="1" w:styleId="VSVerzija">
    <w:name w:val="VS_Verzija"/>
    <w:basedOn w:val="Normal"/>
    <w:rsid w:val="00754A20"/>
    <w:pPr>
      <w:jc w:val="both"/>
    </w:pPr>
    <w:rPr>
      <w:lang w:eastAsia="hr-HR"/>
    </w:rPr>
  </w:style>
  <w:style w:type="paragraph" w:styleId="Odlomakpopisa">
    <w:name w:val="List Paragraph"/>
    <w:basedOn w:val="Normal"/>
    <w:uiPriority w:val="34"/>
    <w:qFormat/>
    <w:rsid w:val="00045CFD"/>
    <w:pPr>
      <w:ind w:left="720"/>
      <w:contextualSpacing/>
    </w:pPr>
  </w:style>
  <w:style w:type="paragraph" w:customStyle="1" w:styleId="t-98-2">
    <w:name w:val="t-98-2"/>
    <w:basedOn w:val="Normal"/>
    <w:rsid w:val="006A593E"/>
    <w:pPr>
      <w:spacing w:before="100" w:beforeAutospacing="1" w:after="100" w:afterAutospacing="1"/>
    </w:pPr>
    <w:rPr>
      <w:lang w:eastAsia="hr-HR"/>
    </w:rPr>
  </w:style>
  <w:style w:type="character" w:styleId="Istaknuto">
    <w:name w:val="Emphasis"/>
    <w:qFormat/>
    <w:rsid w:val="00312A7E"/>
    <w:rPr>
      <w:i/>
      <w:iCs/>
    </w:rPr>
  </w:style>
  <w:style w:type="character" w:styleId="Naglaeno">
    <w:name w:val="Strong"/>
    <w:qFormat/>
    <w:rsid w:val="001869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168">
      <w:bodyDiv w:val="1"/>
      <w:marLeft w:val="0"/>
      <w:marRight w:val="0"/>
      <w:marTop w:val="0"/>
      <w:marBottom w:val="0"/>
      <w:divBdr>
        <w:top w:val="none" w:sz="0" w:space="0" w:color="auto"/>
        <w:left w:val="none" w:sz="0" w:space="0" w:color="auto"/>
        <w:bottom w:val="none" w:sz="0" w:space="0" w:color="auto"/>
        <w:right w:val="none" w:sz="0" w:space="0" w:color="auto"/>
      </w:divBdr>
    </w:div>
    <w:div w:id="78210826">
      <w:bodyDiv w:val="1"/>
      <w:marLeft w:val="0"/>
      <w:marRight w:val="0"/>
      <w:marTop w:val="0"/>
      <w:marBottom w:val="0"/>
      <w:divBdr>
        <w:top w:val="none" w:sz="0" w:space="0" w:color="auto"/>
        <w:left w:val="none" w:sz="0" w:space="0" w:color="auto"/>
        <w:bottom w:val="none" w:sz="0" w:space="0" w:color="auto"/>
        <w:right w:val="none" w:sz="0" w:space="0" w:color="auto"/>
      </w:divBdr>
    </w:div>
    <w:div w:id="733236085">
      <w:bodyDiv w:val="1"/>
      <w:marLeft w:val="0"/>
      <w:marRight w:val="0"/>
      <w:marTop w:val="0"/>
      <w:marBottom w:val="0"/>
      <w:divBdr>
        <w:top w:val="none" w:sz="0" w:space="0" w:color="auto"/>
        <w:left w:val="none" w:sz="0" w:space="0" w:color="auto"/>
        <w:bottom w:val="none" w:sz="0" w:space="0" w:color="auto"/>
        <w:right w:val="none" w:sz="0" w:space="0" w:color="auto"/>
      </w:divBdr>
    </w:div>
    <w:div w:id="817770320">
      <w:bodyDiv w:val="1"/>
      <w:marLeft w:val="0"/>
      <w:marRight w:val="0"/>
      <w:marTop w:val="0"/>
      <w:marBottom w:val="0"/>
      <w:divBdr>
        <w:top w:val="none" w:sz="0" w:space="0" w:color="auto"/>
        <w:left w:val="none" w:sz="0" w:space="0" w:color="auto"/>
        <w:bottom w:val="none" w:sz="0" w:space="0" w:color="auto"/>
        <w:right w:val="none" w:sz="0" w:space="0" w:color="auto"/>
      </w:divBdr>
    </w:div>
    <w:div w:id="835150342">
      <w:bodyDiv w:val="1"/>
      <w:marLeft w:val="0"/>
      <w:marRight w:val="0"/>
      <w:marTop w:val="0"/>
      <w:marBottom w:val="0"/>
      <w:divBdr>
        <w:top w:val="none" w:sz="0" w:space="0" w:color="auto"/>
        <w:left w:val="none" w:sz="0" w:space="0" w:color="auto"/>
        <w:bottom w:val="none" w:sz="0" w:space="0" w:color="auto"/>
        <w:right w:val="none" w:sz="0" w:space="0" w:color="auto"/>
      </w:divBdr>
    </w:div>
    <w:div w:id="999969006">
      <w:bodyDiv w:val="1"/>
      <w:marLeft w:val="0"/>
      <w:marRight w:val="0"/>
      <w:marTop w:val="0"/>
      <w:marBottom w:val="0"/>
      <w:divBdr>
        <w:top w:val="none" w:sz="0" w:space="0" w:color="auto"/>
        <w:left w:val="none" w:sz="0" w:space="0" w:color="auto"/>
        <w:bottom w:val="none" w:sz="0" w:space="0" w:color="auto"/>
        <w:right w:val="none" w:sz="0" w:space="0" w:color="auto"/>
      </w:divBdr>
    </w:div>
    <w:div w:id="1018973020">
      <w:bodyDiv w:val="1"/>
      <w:marLeft w:val="0"/>
      <w:marRight w:val="0"/>
      <w:marTop w:val="0"/>
      <w:marBottom w:val="0"/>
      <w:divBdr>
        <w:top w:val="none" w:sz="0" w:space="0" w:color="auto"/>
        <w:left w:val="none" w:sz="0" w:space="0" w:color="auto"/>
        <w:bottom w:val="none" w:sz="0" w:space="0" w:color="auto"/>
        <w:right w:val="none" w:sz="0" w:space="0" w:color="auto"/>
      </w:divBdr>
    </w:div>
    <w:div w:id="1075476352">
      <w:bodyDiv w:val="1"/>
      <w:marLeft w:val="0"/>
      <w:marRight w:val="0"/>
      <w:marTop w:val="0"/>
      <w:marBottom w:val="0"/>
      <w:divBdr>
        <w:top w:val="none" w:sz="0" w:space="0" w:color="auto"/>
        <w:left w:val="none" w:sz="0" w:space="0" w:color="auto"/>
        <w:bottom w:val="none" w:sz="0" w:space="0" w:color="auto"/>
        <w:right w:val="none" w:sz="0" w:space="0" w:color="auto"/>
      </w:divBdr>
    </w:div>
    <w:div w:id="118123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8BB38-DF2F-40E5-99D5-25C84400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1885</Words>
  <Characters>10010</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Gž-3496/13-</vt:lpstr>
    </vt:vector>
  </TitlesOfParts>
  <Company>RH - TDU</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Gž-3496/13-</dc:title>
  <dc:creator>htopic</dc:creator>
  <cp:lastModifiedBy>Manda Neferanović</cp:lastModifiedBy>
  <cp:revision>2</cp:revision>
  <cp:lastPrinted>2022-08-26T09:22:00Z</cp:lastPrinted>
  <dcterms:created xsi:type="dcterms:W3CDTF">2022-08-26T09:23:00Z</dcterms:created>
  <dcterms:modified xsi:type="dcterms:W3CDTF">2022-08-26T09:23:00Z</dcterms:modified>
</cp:coreProperties>
</file>