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6818E4" w:rsidRPr="00B92B86" w:rsidTr="00B72FA7">
        <w:trPr>
          <w:gridBefore w:val="1"/>
          <w:gridAfter w:val="1"/>
          <w:wBefore w:w="410" w:type="dxa"/>
          <w:wAfter w:w="608" w:type="dxa"/>
        </w:trPr>
        <w:tc>
          <w:tcPr>
            <w:tcW w:w="3302" w:type="dxa"/>
            <w:shd w:val="clear" w:color="auto" w:fill="auto"/>
          </w:tcPr>
          <w:p w:rsidR="006818E4" w:rsidRPr="00043122" w:rsidRDefault="006818E4" w:rsidP="00B72FA7">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6818E4" w:rsidRPr="009077C2" w:rsidRDefault="006818E4"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6818E4" w:rsidRDefault="006818E4" w:rsidP="00B72FA7">
            <w:pPr>
              <w:jc w:val="center"/>
              <w:rPr>
                <w:szCs w:val="24"/>
              </w:rPr>
            </w:pPr>
            <w:r>
              <w:rPr>
                <w:szCs w:val="24"/>
              </w:rPr>
              <w:t>Ž</w:t>
            </w:r>
            <w:r w:rsidRPr="009077C2">
              <w:rPr>
                <w:szCs w:val="24"/>
              </w:rPr>
              <w:t xml:space="preserve">upanijski sud u </w:t>
            </w:r>
            <w:r>
              <w:rPr>
                <w:szCs w:val="24"/>
              </w:rPr>
              <w:t xml:space="preserve">Osijeku </w:t>
            </w:r>
          </w:p>
          <w:p w:rsidR="006818E4" w:rsidRDefault="006818E4" w:rsidP="00B72FA7">
            <w:pPr>
              <w:jc w:val="center"/>
              <w:rPr>
                <w:szCs w:val="24"/>
              </w:rPr>
            </w:pPr>
            <w:r>
              <w:rPr>
                <w:szCs w:val="24"/>
              </w:rPr>
              <w:t>Osijek, Europska avenija 7</w:t>
            </w:r>
          </w:p>
          <w:p w:rsidR="006818E4" w:rsidRPr="00043122" w:rsidRDefault="006818E4" w:rsidP="00B72FA7">
            <w:pPr>
              <w:jc w:val="center"/>
              <w:rPr>
                <w:szCs w:val="24"/>
              </w:rPr>
            </w:pPr>
          </w:p>
        </w:tc>
      </w:tr>
      <w:tr w:rsidR="006818E4" w:rsidRPr="00974EE9" w:rsidTr="00B72FA7">
        <w:tblPrEx>
          <w:tblCellMar>
            <w:left w:w="0" w:type="dxa"/>
            <w:right w:w="0" w:type="dxa"/>
          </w:tblCellMar>
          <w:tblLook w:val="01E0" w:firstRow="1" w:lastRow="1" w:firstColumn="1" w:lastColumn="1" w:noHBand="0" w:noVBand="0"/>
        </w:tblPrEx>
        <w:tc>
          <w:tcPr>
            <w:tcW w:w="4320" w:type="dxa"/>
            <w:gridSpan w:val="3"/>
          </w:tcPr>
          <w:p w:rsidR="006818E4" w:rsidRPr="00974EE9" w:rsidRDefault="006818E4" w:rsidP="00B72FA7">
            <w:pPr>
              <w:pStyle w:val="VSVerzija"/>
              <w:jc w:val="right"/>
            </w:pPr>
          </w:p>
        </w:tc>
      </w:tr>
    </w:tbl>
    <w:p w:rsidR="00257B1C" w:rsidRDefault="0076273E" w:rsidP="006818E4">
      <w:pPr>
        <w:jc w:val="both"/>
      </w:pPr>
    </w:p>
    <w:p w:rsidR="00D33568" w:rsidRDefault="00D33568" w:rsidP="00D33568">
      <w:pPr>
        <w:jc w:val="right"/>
      </w:pPr>
    </w:p>
    <w:p w:rsidR="00D33568" w:rsidRDefault="00D33568" w:rsidP="00D33568">
      <w:pPr>
        <w:jc w:val="right"/>
      </w:pPr>
    </w:p>
    <w:p w:rsidR="00D33568" w:rsidRDefault="00D33568" w:rsidP="00D33568">
      <w:pPr>
        <w:jc w:val="right"/>
      </w:pPr>
    </w:p>
    <w:p w:rsidR="006818E4" w:rsidRDefault="006818E4" w:rsidP="00D33568">
      <w:pPr>
        <w:jc w:val="right"/>
      </w:pPr>
    </w:p>
    <w:p w:rsidR="00D33568" w:rsidRDefault="000F249C" w:rsidP="00D33568">
      <w:pPr>
        <w:jc w:val="right"/>
      </w:pPr>
      <w:r>
        <w:t>Poslovni broj</w:t>
      </w:r>
      <w:r w:rsidR="00680B96">
        <w:t xml:space="preserve"> </w:t>
      </w:r>
      <w:r w:rsidR="00B41EAF">
        <w:t>Gž R-150/2019</w:t>
      </w:r>
      <w:r w:rsidR="00D33568">
        <w:t>-2</w:t>
      </w:r>
    </w:p>
    <w:p w:rsidR="00D33568" w:rsidRDefault="00D33568" w:rsidP="00D33568">
      <w:pPr>
        <w:jc w:val="right"/>
      </w:pPr>
    </w:p>
    <w:p w:rsidR="00D33568" w:rsidRDefault="00D33568" w:rsidP="00D33568">
      <w:pPr>
        <w:jc w:val="right"/>
      </w:pPr>
    </w:p>
    <w:p w:rsidR="00D33568" w:rsidRDefault="00D33568" w:rsidP="00D33568">
      <w:pPr>
        <w:jc w:val="right"/>
      </w:pPr>
    </w:p>
    <w:p w:rsidR="00D33568" w:rsidRDefault="00D33568" w:rsidP="003B386E">
      <w:pPr>
        <w:jc w:val="center"/>
      </w:pPr>
    </w:p>
    <w:p w:rsidR="00D33568" w:rsidRDefault="00D33568" w:rsidP="003B386E">
      <w:pPr>
        <w:jc w:val="center"/>
      </w:pPr>
      <w:r>
        <w:t xml:space="preserve">U </w:t>
      </w:r>
      <w:r w:rsidR="008453CA">
        <w:t xml:space="preserve"> </w:t>
      </w:r>
      <w:r>
        <w:t xml:space="preserve"> I M E</w:t>
      </w:r>
      <w:r w:rsidR="008453CA">
        <w:t xml:space="preserve"> </w:t>
      </w:r>
      <w:r>
        <w:t xml:space="preserve">  R E P U B L I K E</w:t>
      </w:r>
      <w:r w:rsidR="008453CA">
        <w:t xml:space="preserve"> </w:t>
      </w:r>
      <w:r>
        <w:t xml:space="preserve">  H R V A T S K E</w:t>
      </w:r>
    </w:p>
    <w:p w:rsidR="00D33568" w:rsidRDefault="00D33568" w:rsidP="003B386E">
      <w:pPr>
        <w:jc w:val="center"/>
      </w:pPr>
    </w:p>
    <w:p w:rsidR="00D33568" w:rsidRDefault="00E22225" w:rsidP="003B386E">
      <w:pPr>
        <w:jc w:val="center"/>
      </w:pPr>
      <w:r>
        <w:t xml:space="preserve">P R E S U D A </w:t>
      </w:r>
    </w:p>
    <w:p w:rsidR="00F501E5" w:rsidRDefault="00F501E5" w:rsidP="00D33568">
      <w:pPr>
        <w:jc w:val="both"/>
      </w:pPr>
    </w:p>
    <w:p w:rsidR="00F501E5" w:rsidRDefault="00F501E5" w:rsidP="00D33568">
      <w:pPr>
        <w:jc w:val="both"/>
      </w:pPr>
    </w:p>
    <w:p w:rsidR="005B3C5F" w:rsidRDefault="00F501E5" w:rsidP="00D33568">
      <w:pPr>
        <w:jc w:val="both"/>
      </w:pPr>
      <w:r>
        <w:tab/>
        <w:t>Županijski sud u Osijeku, po sucu Marijani Žigić, kao sucu pojedincu u  pravnoj stvari</w:t>
      </w:r>
      <w:r w:rsidRPr="00B819A8">
        <w:t xml:space="preserve"> </w:t>
      </w:r>
      <w:r w:rsidR="001B2D9C">
        <w:t>tužiteljice</w:t>
      </w:r>
      <w:r w:rsidR="00B41EAF">
        <w:t xml:space="preserve"> S</w:t>
      </w:r>
      <w:r w:rsidR="004C7252">
        <w:t>.</w:t>
      </w:r>
      <w:r w:rsidR="00B41EAF">
        <w:t xml:space="preserve"> L</w:t>
      </w:r>
      <w:r w:rsidR="004C7252">
        <w:t>.</w:t>
      </w:r>
      <w:r w:rsidR="00B41EAF">
        <w:t xml:space="preserve"> iz </w:t>
      </w:r>
      <w:r w:rsidR="001B2D9C">
        <w:t>Z</w:t>
      </w:r>
      <w:r w:rsidR="004C7252">
        <w:t>.</w:t>
      </w:r>
      <w:r w:rsidR="001B2D9C">
        <w:t xml:space="preserve">, </w:t>
      </w:r>
      <w:r w:rsidR="004C7252">
        <w:t>…</w:t>
      </w:r>
      <w:r w:rsidR="001B2D9C">
        <w:t xml:space="preserve">, OIB </w:t>
      </w:r>
      <w:r w:rsidR="004C7252">
        <w:t>…</w:t>
      </w:r>
      <w:r w:rsidR="001B2D9C">
        <w:t>, koju zastupa punomoćnica</w:t>
      </w:r>
      <w:r w:rsidR="00B41EAF">
        <w:t xml:space="preserve"> B</w:t>
      </w:r>
      <w:r w:rsidR="004C7252">
        <w:t>.</w:t>
      </w:r>
      <w:r w:rsidR="00906C31">
        <w:t xml:space="preserve"> Š</w:t>
      </w:r>
      <w:r w:rsidR="004C7252">
        <w:t>.</w:t>
      </w:r>
      <w:r w:rsidR="00906C31">
        <w:t xml:space="preserve"> </w:t>
      </w:r>
      <w:r w:rsidR="001B2D9C">
        <w:t>M</w:t>
      </w:r>
      <w:r w:rsidR="004C7252">
        <w:t>.</w:t>
      </w:r>
      <w:r w:rsidR="001B2D9C">
        <w:t>, odvjetnica iz Z</w:t>
      </w:r>
      <w:r w:rsidR="004C7252">
        <w:t>.</w:t>
      </w:r>
      <w:r w:rsidR="00B41EAF">
        <w:t>, protiv tuženika H</w:t>
      </w:r>
      <w:r w:rsidR="004C7252">
        <w:t>.</w:t>
      </w:r>
      <w:r w:rsidR="00B41EAF">
        <w:t xml:space="preserve"> z</w:t>
      </w:r>
      <w:r w:rsidR="004C7252">
        <w:t>.</w:t>
      </w:r>
      <w:r w:rsidR="00B41EAF">
        <w:t xml:space="preserve"> za m</w:t>
      </w:r>
      <w:r w:rsidR="004C7252">
        <w:t>.</w:t>
      </w:r>
      <w:r w:rsidR="00B41EAF">
        <w:t xml:space="preserve"> o</w:t>
      </w:r>
      <w:r w:rsidR="004C7252">
        <w:t>.</w:t>
      </w:r>
      <w:r w:rsidR="00B41EAF">
        <w:t>, Z</w:t>
      </w:r>
      <w:r w:rsidR="004C7252">
        <w:t>.</w:t>
      </w:r>
      <w:r w:rsidR="001B2D9C">
        <w:t xml:space="preserve">, </w:t>
      </w:r>
      <w:r w:rsidR="004C7252">
        <w:t>…</w:t>
      </w:r>
      <w:r w:rsidR="001B2D9C">
        <w:t>, OIB</w:t>
      </w:r>
      <w:r w:rsidR="00B41EAF">
        <w:t xml:space="preserve"> </w:t>
      </w:r>
      <w:r w:rsidR="004C7252">
        <w:t>…</w:t>
      </w:r>
      <w:r w:rsidR="00B41EAF">
        <w:t>, radi isplate</w:t>
      </w:r>
      <w:r w:rsidR="001B2D9C">
        <w:t xml:space="preserve">, odlučujući o žalbi tuženika, protiv presude Općinskog radnog suda u Zagrebu od 28. veljače 2019., broj </w:t>
      </w:r>
      <w:proofErr w:type="spellStart"/>
      <w:r w:rsidR="001B2D9C">
        <w:t>Pr</w:t>
      </w:r>
      <w:proofErr w:type="spellEnd"/>
      <w:r w:rsidR="001B2D9C">
        <w:t>-834/2018-20, 12. travnja 2019.</w:t>
      </w:r>
    </w:p>
    <w:p w:rsidR="00B22645" w:rsidRDefault="00B22645" w:rsidP="00D33568">
      <w:pPr>
        <w:jc w:val="both"/>
      </w:pPr>
    </w:p>
    <w:p w:rsidR="005B3C5F" w:rsidRDefault="005B3C5F" w:rsidP="00D33568">
      <w:pPr>
        <w:jc w:val="both"/>
      </w:pPr>
    </w:p>
    <w:p w:rsidR="00D33568" w:rsidRDefault="00E22225" w:rsidP="005B3C5F">
      <w:pPr>
        <w:jc w:val="center"/>
      </w:pPr>
      <w:r>
        <w:t xml:space="preserve">p r e s u d i o  </w:t>
      </w:r>
      <w:r w:rsidR="00874B3B">
        <w:t xml:space="preserve">  j e </w:t>
      </w:r>
    </w:p>
    <w:p w:rsidR="007E3F3B" w:rsidRDefault="007E3F3B" w:rsidP="005B3C5F">
      <w:pPr>
        <w:jc w:val="center"/>
      </w:pPr>
    </w:p>
    <w:p w:rsidR="007E3F3B" w:rsidRDefault="007E3F3B" w:rsidP="00C806F3">
      <w:pPr>
        <w:jc w:val="both"/>
      </w:pPr>
    </w:p>
    <w:p w:rsidR="007E3F3B" w:rsidRDefault="007E3F3B" w:rsidP="00C806F3">
      <w:pPr>
        <w:jc w:val="both"/>
      </w:pPr>
      <w:r>
        <w:tab/>
        <w:t xml:space="preserve">Žalba tuženika odbija se kao neosnovana i potvrđuje se presuda Općinskog radnog suda u Zagrebu od 28. veljače 2019., broj </w:t>
      </w:r>
      <w:proofErr w:type="spellStart"/>
      <w:r>
        <w:t>Pr</w:t>
      </w:r>
      <w:proofErr w:type="spellEnd"/>
      <w:r>
        <w:t xml:space="preserve">-834/2018-20 u dijelu </w:t>
      </w:r>
      <w:proofErr w:type="spellStart"/>
      <w:r>
        <w:t>toč</w:t>
      </w:r>
      <w:proofErr w:type="spellEnd"/>
      <w:r>
        <w:t>. I. izreke u kojem je tužbeni zahtjev prihvaćen, kao i u toč. II. izreke.</w:t>
      </w:r>
    </w:p>
    <w:p w:rsidR="00874B3B" w:rsidRDefault="00874B3B" w:rsidP="005B3C5F">
      <w:pPr>
        <w:jc w:val="center"/>
      </w:pPr>
    </w:p>
    <w:p w:rsidR="00874B3B" w:rsidRDefault="00874B3B" w:rsidP="00874B3B">
      <w:pPr>
        <w:jc w:val="both"/>
      </w:pPr>
    </w:p>
    <w:p w:rsidR="00874B3B" w:rsidRDefault="00874B3B" w:rsidP="00874B3B">
      <w:pPr>
        <w:jc w:val="center"/>
      </w:pPr>
      <w:r>
        <w:t>Obrazloženje</w:t>
      </w:r>
    </w:p>
    <w:p w:rsidR="00874B3B" w:rsidRDefault="00874B3B" w:rsidP="00874B3B">
      <w:pPr>
        <w:jc w:val="center"/>
      </w:pPr>
    </w:p>
    <w:p w:rsidR="00874B3B" w:rsidRDefault="00874B3B" w:rsidP="00874B3B">
      <w:pPr>
        <w:jc w:val="center"/>
      </w:pPr>
    </w:p>
    <w:p w:rsidR="007E3F3B" w:rsidRDefault="00874B3B" w:rsidP="007E3F3B">
      <w:pPr>
        <w:jc w:val="both"/>
      </w:pPr>
      <w:r>
        <w:tab/>
      </w:r>
      <w:r w:rsidR="00E22225">
        <w:t xml:space="preserve">Presudom </w:t>
      </w:r>
      <w:r>
        <w:t>prvostupanjskog suda odlučeno je:</w:t>
      </w:r>
    </w:p>
    <w:p w:rsidR="007E3F3B" w:rsidRDefault="007E3F3B" w:rsidP="007E3F3B">
      <w:pPr>
        <w:jc w:val="both"/>
      </w:pPr>
      <w:r>
        <w:tab/>
      </w:r>
    </w:p>
    <w:p w:rsidR="007E3F3B" w:rsidRPr="007E3F3B" w:rsidRDefault="007E3F3B" w:rsidP="007E3F3B">
      <w:pPr>
        <w:jc w:val="both"/>
      </w:pPr>
      <w:r>
        <w:tab/>
        <w:t>"</w:t>
      </w:r>
      <w:r>
        <w:rPr>
          <w:rFonts w:eastAsia="Times New Roman" w:cs="Times New Roman"/>
          <w:kern w:val="32"/>
          <w:szCs w:val="24"/>
          <w:lang w:eastAsia="hr-HR"/>
        </w:rPr>
        <w:t xml:space="preserve">I. </w:t>
      </w:r>
      <w:r w:rsidRPr="007E3F3B">
        <w:rPr>
          <w:rFonts w:eastAsia="Times New Roman" w:cs="Times New Roman"/>
          <w:kern w:val="32"/>
          <w:szCs w:val="24"/>
          <w:lang w:eastAsia="hr-HR"/>
        </w:rPr>
        <w:t>Nalaže se tuženiku, H</w:t>
      </w:r>
      <w:r w:rsidR="003B72C4">
        <w:rPr>
          <w:rFonts w:eastAsia="Times New Roman" w:cs="Times New Roman"/>
          <w:kern w:val="32"/>
          <w:szCs w:val="24"/>
          <w:lang w:eastAsia="hr-HR"/>
        </w:rPr>
        <w:t>.</w:t>
      </w:r>
      <w:r w:rsidRPr="007E3F3B">
        <w:rPr>
          <w:rFonts w:eastAsia="Times New Roman" w:cs="Times New Roman"/>
          <w:kern w:val="32"/>
          <w:szCs w:val="24"/>
          <w:lang w:eastAsia="hr-HR"/>
        </w:rPr>
        <w:t xml:space="preserve"> z</w:t>
      </w:r>
      <w:r w:rsidR="003B72C4">
        <w:rPr>
          <w:rFonts w:eastAsia="Times New Roman" w:cs="Times New Roman"/>
          <w:kern w:val="32"/>
          <w:szCs w:val="24"/>
          <w:lang w:eastAsia="hr-HR"/>
        </w:rPr>
        <w:t>.</w:t>
      </w:r>
      <w:r w:rsidRPr="007E3F3B">
        <w:rPr>
          <w:rFonts w:eastAsia="Times New Roman" w:cs="Times New Roman"/>
          <w:kern w:val="32"/>
          <w:szCs w:val="24"/>
          <w:lang w:eastAsia="hr-HR"/>
        </w:rPr>
        <w:t xml:space="preserve"> za m</w:t>
      </w:r>
      <w:r w:rsidR="003B72C4">
        <w:rPr>
          <w:rFonts w:eastAsia="Times New Roman" w:cs="Times New Roman"/>
          <w:kern w:val="32"/>
          <w:szCs w:val="24"/>
          <w:lang w:eastAsia="hr-HR"/>
        </w:rPr>
        <w:t>.</w:t>
      </w:r>
      <w:r w:rsidRPr="007E3F3B">
        <w:rPr>
          <w:rFonts w:eastAsia="Times New Roman" w:cs="Times New Roman"/>
          <w:kern w:val="32"/>
          <w:szCs w:val="24"/>
          <w:lang w:eastAsia="hr-HR"/>
        </w:rPr>
        <w:t xml:space="preserve"> o</w:t>
      </w:r>
      <w:r w:rsidR="003B72C4">
        <w:rPr>
          <w:rFonts w:eastAsia="Times New Roman" w:cs="Times New Roman"/>
          <w:kern w:val="32"/>
          <w:szCs w:val="24"/>
          <w:lang w:eastAsia="hr-HR"/>
        </w:rPr>
        <w:t>.</w:t>
      </w:r>
      <w:r w:rsidRPr="007E3F3B">
        <w:rPr>
          <w:rFonts w:eastAsia="Times New Roman" w:cs="Times New Roman"/>
          <w:kern w:val="32"/>
          <w:szCs w:val="24"/>
          <w:lang w:eastAsia="hr-HR"/>
        </w:rPr>
        <w:t>, Z</w:t>
      </w:r>
      <w:r w:rsidR="003B72C4">
        <w:rPr>
          <w:rFonts w:eastAsia="Times New Roman" w:cs="Times New Roman"/>
          <w:kern w:val="32"/>
          <w:szCs w:val="24"/>
          <w:lang w:eastAsia="hr-HR"/>
        </w:rPr>
        <w:t>.</w:t>
      </w:r>
      <w:r w:rsidRPr="007E3F3B">
        <w:rPr>
          <w:rFonts w:eastAsia="Times New Roman" w:cs="Times New Roman"/>
          <w:kern w:val="32"/>
          <w:szCs w:val="24"/>
          <w:lang w:eastAsia="hr-HR"/>
        </w:rPr>
        <w:t xml:space="preserve">, </w:t>
      </w:r>
      <w:r w:rsidR="003B72C4">
        <w:rPr>
          <w:rFonts w:eastAsia="Times New Roman" w:cs="Times New Roman"/>
          <w:kern w:val="32"/>
          <w:szCs w:val="24"/>
          <w:lang w:eastAsia="hr-HR"/>
        </w:rPr>
        <w:t>…</w:t>
      </w:r>
      <w:r w:rsidRPr="007E3F3B">
        <w:rPr>
          <w:rFonts w:eastAsia="Times New Roman" w:cs="Times New Roman"/>
          <w:kern w:val="32"/>
          <w:szCs w:val="24"/>
          <w:lang w:eastAsia="hr-HR"/>
        </w:rPr>
        <w:t xml:space="preserve">, OIB: </w:t>
      </w:r>
      <w:r w:rsidR="003B72C4">
        <w:rPr>
          <w:rFonts w:eastAsia="Times New Roman" w:cs="Times New Roman"/>
          <w:kern w:val="32"/>
          <w:szCs w:val="24"/>
          <w:lang w:eastAsia="hr-HR"/>
        </w:rPr>
        <w:t>…</w:t>
      </w:r>
      <w:r w:rsidRPr="007E3F3B">
        <w:rPr>
          <w:rFonts w:eastAsia="Times New Roman" w:cs="Times New Roman"/>
          <w:kern w:val="32"/>
          <w:szCs w:val="24"/>
          <w:lang w:eastAsia="hr-HR"/>
        </w:rPr>
        <w:t>, da tužitelju L</w:t>
      </w:r>
      <w:r w:rsidR="003B72C4">
        <w:rPr>
          <w:rFonts w:eastAsia="Times New Roman" w:cs="Times New Roman"/>
          <w:kern w:val="32"/>
          <w:szCs w:val="24"/>
          <w:lang w:eastAsia="hr-HR"/>
        </w:rPr>
        <w:t>.</w:t>
      </w:r>
      <w:r w:rsidRPr="007E3F3B">
        <w:rPr>
          <w:rFonts w:eastAsia="Times New Roman" w:cs="Times New Roman"/>
          <w:kern w:val="32"/>
          <w:szCs w:val="24"/>
          <w:lang w:eastAsia="hr-HR"/>
        </w:rPr>
        <w:t xml:space="preserve"> S</w:t>
      </w:r>
      <w:r w:rsidR="003B72C4">
        <w:rPr>
          <w:rFonts w:eastAsia="Times New Roman" w:cs="Times New Roman"/>
          <w:kern w:val="32"/>
          <w:szCs w:val="24"/>
          <w:lang w:eastAsia="hr-HR"/>
        </w:rPr>
        <w:t>.</w:t>
      </w:r>
      <w:r w:rsidRPr="007E3F3B">
        <w:rPr>
          <w:rFonts w:eastAsia="Times New Roman" w:cs="Times New Roman"/>
          <w:kern w:val="32"/>
          <w:szCs w:val="24"/>
          <w:lang w:eastAsia="hr-HR"/>
        </w:rPr>
        <w:t xml:space="preserve"> iz Z</w:t>
      </w:r>
      <w:r w:rsidR="003B72C4">
        <w:rPr>
          <w:rFonts w:eastAsia="Times New Roman" w:cs="Times New Roman"/>
          <w:kern w:val="32"/>
          <w:szCs w:val="24"/>
          <w:lang w:eastAsia="hr-HR"/>
        </w:rPr>
        <w:t>.</w:t>
      </w:r>
      <w:r w:rsidRPr="007E3F3B">
        <w:rPr>
          <w:rFonts w:eastAsia="Times New Roman" w:cs="Times New Roman"/>
          <w:kern w:val="32"/>
          <w:szCs w:val="24"/>
          <w:lang w:eastAsia="hr-HR"/>
        </w:rPr>
        <w:t xml:space="preserve">, </w:t>
      </w:r>
      <w:r w:rsidR="003B72C4">
        <w:rPr>
          <w:rFonts w:eastAsia="Times New Roman" w:cs="Times New Roman"/>
          <w:kern w:val="32"/>
          <w:szCs w:val="24"/>
          <w:lang w:eastAsia="hr-HR"/>
        </w:rPr>
        <w:t>…</w:t>
      </w:r>
      <w:r w:rsidRPr="007E3F3B">
        <w:rPr>
          <w:rFonts w:eastAsia="Times New Roman" w:cs="Times New Roman"/>
          <w:kern w:val="32"/>
          <w:szCs w:val="24"/>
          <w:lang w:eastAsia="hr-HR"/>
        </w:rPr>
        <w:t xml:space="preserve">, OIB: </w:t>
      </w:r>
      <w:r w:rsidR="003B72C4">
        <w:rPr>
          <w:rFonts w:eastAsia="Times New Roman" w:cs="Times New Roman"/>
          <w:kern w:val="32"/>
          <w:szCs w:val="24"/>
          <w:lang w:eastAsia="hr-HR"/>
        </w:rPr>
        <w:t>…</w:t>
      </w:r>
      <w:r w:rsidRPr="007E3F3B">
        <w:rPr>
          <w:rFonts w:eastAsia="Times New Roman" w:cs="Times New Roman"/>
          <w:kern w:val="32"/>
          <w:szCs w:val="24"/>
          <w:lang w:eastAsia="hr-HR"/>
        </w:rPr>
        <w:t>, na ime razlike plaće isplati iznos od 4.051,07 kn bruto sa zakonskom zateznom kamatom obračunatom od dana dospijeća svakog pojedinog iznosa, osim na iznos poreza na dohodak i prireza porezu na dohodak sadržanom u navedenom iznosu, do 31. srpnja 2015. godine po stopi određenoj za svako polugodište uvećanjem eskontne stope Hrvatske narodne banke koja je vrijedila zadnjeg dana polugodišta koje je prethodilo tekućem polugodištu za pet postotnih poena, a od 01. kolovoza 2015. godine do isplate, po prosječnoj kamatnoj stopi na stanja kredita odobrenih na razdoblje dulje od godine dana nefinancijskim trgovačkim društvima, izračunatoj za referentno razdoblje koje prethodi tekućem polugodištu, uvećanoj za tri postotna poena, tekućom na iznos od:</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51,07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09.01.2013.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73,84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08.02.2013.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89,38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08.03.2013.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86,88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06.04.2013.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57,81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07.05.2013.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lastRenderedPageBreak/>
        <w:t xml:space="preserve">od 61,37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07.06.2013.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60,39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06.07.2013.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08.08.2013.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06.09.2013.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57,81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05.10.2013.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57,81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08.11.2013.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57,81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06.12.2013.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09.01.2014.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86,74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07.02.2014.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86,74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07.03.2014.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86,74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05.04.2014.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07.05.2014.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08.06.2014.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05.07.2014.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07.08.2014.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57,81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05.09.2014.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07.10.2014.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06.11.2014.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09.12.2014.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57,81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08.01.2015.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86,74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06.02.2015.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86,74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06.03.2015.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86,73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04.04.2015.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59,13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06.05.2015.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04.06.2015.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57,81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04.07.2015.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05.08.2015.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04.09.2015.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06.10.2015.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57,81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05.11.2015.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09.12.2015.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06.01.2016.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86,74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06.02.2016.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86,74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05.03.2016.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86,73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05.04.2016.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05.05.2016.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04.06.2016.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05.07.2016.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05.08.2016.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06.09.2016.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05.10.2016.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04.11.2016.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07.12.2016.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57,82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08.01.2017.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88,49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04.02.2017.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88,47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04.03.2017.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88,47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05.04.2017.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60,45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05.05.2017.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58,98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06.06.2017.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59,00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05.07.2017.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lastRenderedPageBreak/>
        <w:t xml:space="preserve">od 58,98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04.08.2017.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60,16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05.09.2017.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60,17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05.10.2017.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82,13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04.11.2017.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85,86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09.12.2017. do isplate, </w:t>
      </w:r>
    </w:p>
    <w:p w:rsidR="007E3F3B" w:rsidRPr="007E3F3B" w:rsidRDefault="007E3F3B" w:rsidP="007E3F3B">
      <w:pPr>
        <w:rPr>
          <w:rFonts w:eastAsia="Times New Roman" w:cs="Times New Roman"/>
          <w:szCs w:val="24"/>
          <w:lang w:eastAsia="hr-HR"/>
        </w:rPr>
      </w:pPr>
      <w:r w:rsidRPr="007E3F3B">
        <w:rPr>
          <w:rFonts w:eastAsia="Times New Roman" w:cs="Times New Roman"/>
          <w:szCs w:val="24"/>
          <w:lang w:eastAsia="hr-HR"/>
        </w:rPr>
        <w:t xml:space="preserve">od 89,13 kn </w:t>
      </w:r>
      <w:proofErr w:type="spellStart"/>
      <w:r w:rsidRPr="007E3F3B">
        <w:rPr>
          <w:rFonts w:eastAsia="Times New Roman" w:cs="Times New Roman"/>
          <w:szCs w:val="24"/>
          <w:lang w:eastAsia="hr-HR"/>
        </w:rPr>
        <w:t>počev</w:t>
      </w:r>
      <w:proofErr w:type="spellEnd"/>
      <w:r w:rsidRPr="007E3F3B">
        <w:rPr>
          <w:rFonts w:eastAsia="Times New Roman" w:cs="Times New Roman"/>
          <w:szCs w:val="24"/>
          <w:lang w:eastAsia="hr-HR"/>
        </w:rPr>
        <w:t xml:space="preserve"> od 05.01.2018. do isplate, </w:t>
      </w:r>
    </w:p>
    <w:p w:rsidR="007E3F3B" w:rsidRPr="007E3F3B" w:rsidRDefault="007E3F3B" w:rsidP="007E3F3B">
      <w:pPr>
        <w:jc w:val="both"/>
        <w:rPr>
          <w:rFonts w:eastAsia="Times New Roman" w:cs="Times New Roman"/>
          <w:szCs w:val="24"/>
          <w:lang w:eastAsia="hr-HR"/>
        </w:rPr>
      </w:pPr>
      <w:r w:rsidRPr="007E3F3B">
        <w:rPr>
          <w:rFonts w:eastAsia="Times New Roman" w:cs="Times New Roman"/>
          <w:szCs w:val="24"/>
          <w:lang w:eastAsia="hr-HR"/>
        </w:rPr>
        <w:t>u roku od osam dana.</w:t>
      </w:r>
    </w:p>
    <w:p w:rsidR="007E3F3B" w:rsidRPr="007E3F3B" w:rsidRDefault="007E3F3B" w:rsidP="007E3F3B">
      <w:pPr>
        <w:jc w:val="both"/>
        <w:rPr>
          <w:rFonts w:eastAsia="Times New Roman" w:cs="Times New Roman"/>
          <w:szCs w:val="24"/>
          <w:lang w:eastAsia="hr-HR"/>
        </w:rPr>
      </w:pPr>
    </w:p>
    <w:p w:rsidR="007E3F3B" w:rsidRPr="007E3F3B" w:rsidRDefault="00865ED3" w:rsidP="007E3F3B">
      <w:pPr>
        <w:jc w:val="both"/>
        <w:rPr>
          <w:rFonts w:eastAsia="Times New Roman" w:cs="Times New Roman"/>
          <w:szCs w:val="24"/>
          <w:lang w:eastAsia="hr-HR"/>
        </w:rPr>
      </w:pPr>
      <w:r>
        <w:rPr>
          <w:rFonts w:eastAsia="Times New Roman" w:cs="Times New Roman"/>
          <w:szCs w:val="24"/>
          <w:lang w:eastAsia="hr-HR"/>
        </w:rPr>
        <w:tab/>
        <w:t xml:space="preserve">II. </w:t>
      </w:r>
      <w:r w:rsidR="007E3F3B" w:rsidRPr="007E3F3B">
        <w:rPr>
          <w:rFonts w:eastAsia="Times New Roman" w:cs="Times New Roman"/>
          <w:szCs w:val="24"/>
          <w:lang w:eastAsia="hr-HR"/>
        </w:rPr>
        <w:t>Nalaže se tuženiku da tužitelju  na ime parničnog troška isplati iznos od 2.031,25 kn sa zakonskom zateznom kamatom tekućom od 28. veljače 2019. godine do isplate po prosječnoj kamatnoj stopi na stanja kredita odobrenih na razdoblje dulje od godine dana nefinancijskim trgovačkim društvima, izračunatoj za referentno razdoblje koje prethodi tekućem polugodištu, uvećanoj za tri postotna poena,</w:t>
      </w:r>
      <w:r w:rsidR="007E3F3B" w:rsidRPr="007E3F3B">
        <w:rPr>
          <w:rFonts w:eastAsia="Times New Roman" w:cs="Times New Roman"/>
          <w:sz w:val="22"/>
          <w:szCs w:val="20"/>
          <w:lang w:eastAsia="hr-HR"/>
        </w:rPr>
        <w:t xml:space="preserve"> </w:t>
      </w:r>
      <w:r w:rsidR="007E3F3B" w:rsidRPr="007E3F3B">
        <w:rPr>
          <w:rFonts w:eastAsia="Times New Roman" w:cs="Times New Roman"/>
          <w:szCs w:val="24"/>
          <w:lang w:eastAsia="hr-HR"/>
        </w:rPr>
        <w:t>u roku od 8 dana.</w:t>
      </w:r>
    </w:p>
    <w:p w:rsidR="007E3F3B" w:rsidRPr="007E3F3B" w:rsidRDefault="007E3F3B" w:rsidP="007E3F3B">
      <w:pPr>
        <w:jc w:val="both"/>
        <w:rPr>
          <w:rFonts w:eastAsia="Times New Roman" w:cs="Times New Roman"/>
          <w:szCs w:val="24"/>
          <w:lang w:eastAsia="hr-HR"/>
        </w:rPr>
      </w:pPr>
    </w:p>
    <w:p w:rsidR="00865ED3" w:rsidRDefault="00865ED3" w:rsidP="007E3F3B">
      <w:pPr>
        <w:ind w:left="705" w:hanging="705"/>
        <w:jc w:val="both"/>
        <w:rPr>
          <w:rFonts w:eastAsia="Times New Roman" w:cs="Times New Roman"/>
          <w:szCs w:val="24"/>
          <w:lang w:eastAsia="hr-HR"/>
        </w:rPr>
      </w:pPr>
      <w:r>
        <w:rPr>
          <w:rFonts w:eastAsia="Times New Roman" w:cs="Times New Roman"/>
          <w:szCs w:val="24"/>
          <w:lang w:eastAsia="hr-HR"/>
        </w:rPr>
        <w:tab/>
        <w:t xml:space="preserve">III. </w:t>
      </w:r>
      <w:r w:rsidR="007E3F3B" w:rsidRPr="007E3F3B">
        <w:rPr>
          <w:rFonts w:eastAsia="Times New Roman" w:cs="Times New Roman"/>
          <w:szCs w:val="24"/>
          <w:lang w:eastAsia="hr-HR"/>
        </w:rPr>
        <w:t>Odbija se zahtjev tuženika za naknadu parničnog troška.</w:t>
      </w:r>
      <w:r>
        <w:rPr>
          <w:rFonts w:eastAsia="Times New Roman" w:cs="Times New Roman"/>
          <w:szCs w:val="24"/>
          <w:lang w:eastAsia="hr-HR"/>
        </w:rPr>
        <w:t>"</w:t>
      </w:r>
    </w:p>
    <w:p w:rsidR="00865ED3" w:rsidRDefault="00865ED3" w:rsidP="007E3F3B">
      <w:pPr>
        <w:ind w:left="705" w:hanging="705"/>
        <w:jc w:val="both"/>
        <w:rPr>
          <w:rFonts w:eastAsia="Times New Roman" w:cs="Times New Roman"/>
          <w:szCs w:val="24"/>
          <w:lang w:eastAsia="hr-HR"/>
        </w:rPr>
      </w:pPr>
    </w:p>
    <w:p w:rsidR="007E3F3B" w:rsidRPr="007E3F3B" w:rsidRDefault="00865ED3" w:rsidP="00865ED3">
      <w:pPr>
        <w:jc w:val="both"/>
        <w:rPr>
          <w:rFonts w:eastAsia="Times New Roman" w:cs="Times New Roman"/>
          <w:szCs w:val="24"/>
          <w:lang w:eastAsia="hr-HR"/>
        </w:rPr>
      </w:pPr>
      <w:r>
        <w:rPr>
          <w:rFonts w:eastAsia="Times New Roman" w:cs="Times New Roman"/>
          <w:szCs w:val="24"/>
          <w:lang w:eastAsia="hr-HR"/>
        </w:rPr>
        <w:tab/>
        <w:t>Protiv te presude u dijelu izreke pod toč. I. kojom je prihvaćen tužbeni zahtjev,</w:t>
      </w:r>
      <w:r w:rsidR="007E3F3B" w:rsidRPr="007E3F3B">
        <w:rPr>
          <w:rFonts w:eastAsia="Times New Roman" w:cs="Times New Roman"/>
          <w:szCs w:val="24"/>
          <w:lang w:eastAsia="hr-HR"/>
        </w:rPr>
        <w:t xml:space="preserve"> </w:t>
      </w:r>
      <w:r>
        <w:rPr>
          <w:rFonts w:eastAsia="Times New Roman" w:cs="Times New Roman"/>
          <w:szCs w:val="24"/>
          <w:lang w:eastAsia="hr-HR"/>
        </w:rPr>
        <w:t xml:space="preserve">kao i protiv </w:t>
      </w:r>
      <w:r w:rsidR="009A5A1B">
        <w:rPr>
          <w:rFonts w:eastAsia="Times New Roman" w:cs="Times New Roman"/>
          <w:szCs w:val="24"/>
          <w:lang w:eastAsia="hr-HR"/>
        </w:rPr>
        <w:t xml:space="preserve">toč. II. izreke žalbu je pravovremeno izjavio tuženik zbog žalbenih razloga označenih u čl. 353. st. 1. toč. 1. i 3. </w:t>
      </w:r>
      <w:r w:rsidR="009A5A1B" w:rsidRPr="009A5A1B">
        <w:rPr>
          <w:rFonts w:eastAsia="Times New Roman" w:cs="Times New Roman"/>
          <w:szCs w:val="24"/>
          <w:lang w:eastAsia="hr-HR"/>
        </w:rPr>
        <w:t>Zakona o parničnom postupku ("Narodne novine" broj 53/91., 91/92., 112/99., 88/01., 117/03., 88/05., 2/07., 84/08., 96/08., 123/08., 57/11., 148/11. – pročišćeni tekst, 25/13., 28/13. i 89/14., dalje ZPP)</w:t>
      </w:r>
      <w:r w:rsidR="009A5A1B">
        <w:rPr>
          <w:rFonts w:eastAsia="Times New Roman" w:cs="Times New Roman"/>
          <w:szCs w:val="24"/>
          <w:lang w:eastAsia="hr-HR"/>
        </w:rPr>
        <w:t xml:space="preserve"> s prijedlogom da se presuda u pobijanom dijelu (dio toč. I. izreke i toč. II.</w:t>
      </w:r>
      <w:r w:rsidR="00E54B39">
        <w:rPr>
          <w:rFonts w:eastAsia="Times New Roman" w:cs="Times New Roman"/>
          <w:szCs w:val="24"/>
          <w:lang w:eastAsia="hr-HR"/>
        </w:rPr>
        <w:t xml:space="preserve"> izreke) preinači</w:t>
      </w:r>
      <w:r w:rsidR="009A5A1B">
        <w:rPr>
          <w:rFonts w:eastAsia="Times New Roman" w:cs="Times New Roman"/>
          <w:szCs w:val="24"/>
          <w:lang w:eastAsia="hr-HR"/>
        </w:rPr>
        <w:t xml:space="preserve"> i tužbeni zahtjev odbije, </w:t>
      </w:r>
      <w:proofErr w:type="spellStart"/>
      <w:r w:rsidR="009A5A1B">
        <w:rPr>
          <w:rFonts w:eastAsia="Times New Roman" w:cs="Times New Roman"/>
          <w:szCs w:val="24"/>
          <w:lang w:eastAsia="hr-HR"/>
        </w:rPr>
        <w:t>podredno</w:t>
      </w:r>
      <w:proofErr w:type="spellEnd"/>
      <w:r w:rsidR="009A5A1B">
        <w:rPr>
          <w:rFonts w:eastAsia="Times New Roman" w:cs="Times New Roman"/>
          <w:szCs w:val="24"/>
          <w:lang w:eastAsia="hr-HR"/>
        </w:rPr>
        <w:t xml:space="preserve"> ukine i predmet vrati prvostupanjskom sudu na ponovno suđenje.  </w:t>
      </w:r>
      <w:r w:rsidR="009A5A1B" w:rsidRPr="009A5A1B">
        <w:rPr>
          <w:rFonts w:eastAsia="Times New Roman" w:cs="Times New Roman"/>
          <w:szCs w:val="24"/>
          <w:lang w:eastAsia="hr-HR"/>
        </w:rPr>
        <w:t xml:space="preserve"> </w:t>
      </w:r>
      <w:r w:rsidR="009A5A1B">
        <w:rPr>
          <w:rFonts w:eastAsia="Times New Roman" w:cs="Times New Roman"/>
          <w:szCs w:val="24"/>
          <w:lang w:eastAsia="hr-HR"/>
        </w:rPr>
        <w:t xml:space="preserve"> </w:t>
      </w:r>
    </w:p>
    <w:p w:rsidR="00874B3B" w:rsidRDefault="00874B3B" w:rsidP="00B5134B">
      <w:pPr>
        <w:jc w:val="both"/>
      </w:pPr>
    </w:p>
    <w:p w:rsidR="003A01EC" w:rsidRDefault="006075F1" w:rsidP="00B5134B">
      <w:pPr>
        <w:jc w:val="both"/>
      </w:pPr>
      <w:r>
        <w:tab/>
        <w:t xml:space="preserve">Odgovor na žalbu tuženika podnio je tužitelj koji žalbu smatra neosnovanom pa predlaže da se žalba odbije a prvostupanjska presuda u pobijanom dijelu potvrdi. </w:t>
      </w:r>
    </w:p>
    <w:p w:rsidR="003A01EC" w:rsidRDefault="003A01EC" w:rsidP="00B5134B">
      <w:pPr>
        <w:jc w:val="both"/>
      </w:pPr>
    </w:p>
    <w:p w:rsidR="003A01EC" w:rsidRDefault="003A01EC" w:rsidP="00B5134B">
      <w:pPr>
        <w:jc w:val="both"/>
      </w:pPr>
      <w:r>
        <w:tab/>
        <w:t xml:space="preserve">Žalba nije osnovana. </w:t>
      </w:r>
    </w:p>
    <w:p w:rsidR="006075F1" w:rsidRDefault="006075F1" w:rsidP="00B5134B">
      <w:pPr>
        <w:jc w:val="both"/>
      </w:pPr>
    </w:p>
    <w:p w:rsidR="006075F1" w:rsidRDefault="006075F1" w:rsidP="00B5134B">
      <w:pPr>
        <w:jc w:val="both"/>
      </w:pPr>
      <w:r>
        <w:tab/>
        <w:t>Ispitujući pobijanu presudu u granicama žalbenih razloga, te pazeći po službenoj dužnosti na bitne povrede odredaba parničnog postupka na koje ovaj sud pazi temeljem čl. 365. st. 2. ZPP</w:t>
      </w:r>
      <w:r w:rsidR="00291AD3">
        <w:t xml:space="preserve"> ovaj sud nije našao da bi prvostupanjski sud prilikom donošenja pobijane presude počinio navedene bitne povrede odredaba parničnog postupka, a na druge bitne povrede tuženik u žalbi ne ukazuje. </w:t>
      </w:r>
    </w:p>
    <w:p w:rsidR="00291AD3" w:rsidRDefault="00291AD3" w:rsidP="00B5134B">
      <w:pPr>
        <w:jc w:val="both"/>
      </w:pPr>
    </w:p>
    <w:p w:rsidR="00291AD3" w:rsidRDefault="00291AD3" w:rsidP="00B5134B">
      <w:pPr>
        <w:jc w:val="both"/>
      </w:pPr>
      <w:r>
        <w:tab/>
        <w:t xml:space="preserve">I materijalno pravo pravilno je primijenjeno. </w:t>
      </w:r>
    </w:p>
    <w:p w:rsidR="00291AD3" w:rsidRDefault="00291AD3" w:rsidP="00B5134B">
      <w:pPr>
        <w:jc w:val="both"/>
      </w:pPr>
    </w:p>
    <w:p w:rsidR="00291AD3" w:rsidRDefault="00291AD3" w:rsidP="00B5134B">
      <w:pPr>
        <w:jc w:val="both"/>
      </w:pPr>
      <w:r>
        <w:tab/>
        <w:t>Predmet spora je zahtjev tužitelja za isplatom razlike plaće u utuženom periodu, a koja razlika plaće je nastala iz razloga što tuženik kao poslodavac tužitelju nije uvećao plaću za min</w:t>
      </w:r>
      <w:r w:rsidR="00BB459D">
        <w:t>uli rad a za staž osiguranja za period od 1. siječnja 1980. do 18. travnja 1982. koji je ostvario kao ind</w:t>
      </w:r>
      <w:r w:rsidR="0082199C">
        <w:t>ividualni</w:t>
      </w:r>
      <w:r w:rsidR="00BB459D">
        <w:t xml:space="preserve"> poljoprivrednik. </w:t>
      </w:r>
    </w:p>
    <w:p w:rsidR="00907575" w:rsidRDefault="00907575" w:rsidP="00B5134B">
      <w:pPr>
        <w:jc w:val="both"/>
      </w:pPr>
    </w:p>
    <w:p w:rsidR="00907575" w:rsidRDefault="00907575" w:rsidP="00B5134B">
      <w:pPr>
        <w:jc w:val="both"/>
      </w:pPr>
      <w:r>
        <w:tab/>
        <w:t xml:space="preserve">I u ovoj žalbenoj fazi postupka sporna je i nadalje </w:t>
      </w:r>
      <w:r w:rsidR="00A5126E">
        <w:t>osnova tužbenog zahtjeva, dok su</w:t>
      </w:r>
      <w:r>
        <w:t xml:space="preserve"> visina tužbenog zahtjeva i tijek zateznih kamat</w:t>
      </w:r>
      <w:r w:rsidR="00A5126E">
        <w:t>a</w:t>
      </w:r>
      <w:r>
        <w:t xml:space="preserve"> nesporni.</w:t>
      </w:r>
    </w:p>
    <w:p w:rsidR="00907575" w:rsidRDefault="00907575" w:rsidP="00B5134B">
      <w:pPr>
        <w:jc w:val="both"/>
      </w:pPr>
    </w:p>
    <w:p w:rsidR="00907575" w:rsidRDefault="00907575" w:rsidP="00B5134B">
      <w:pPr>
        <w:jc w:val="both"/>
      </w:pPr>
      <w:r>
        <w:tab/>
        <w:t>Tuženik i nadalje tvrdi da tužitelj tijekom postupka nije dokazao da je platio doprinose za staž osiguranja ostvaren radom u poljoprivred</w:t>
      </w:r>
      <w:r w:rsidR="00CD0783">
        <w:t>i</w:t>
      </w:r>
      <w:r>
        <w:t xml:space="preserve">, slijedom čega se navedeni staž ne može uzeti kao </w:t>
      </w:r>
      <w:r w:rsidR="001E2BE9">
        <w:t>valjan prilikom obračuna plaće neovisno o upisu prijave i odjave staža u radnu knjižicu, niti se plaća tužitelja može povećati na temelju poljoprivrednog staža.</w:t>
      </w:r>
    </w:p>
    <w:p w:rsidR="001E2BE9" w:rsidRDefault="001E2BE9" w:rsidP="00B5134B">
      <w:pPr>
        <w:jc w:val="both"/>
      </w:pPr>
    </w:p>
    <w:p w:rsidR="00777C47" w:rsidRDefault="001E2BE9" w:rsidP="00B5134B">
      <w:pPr>
        <w:jc w:val="both"/>
      </w:pPr>
      <w:r>
        <w:lastRenderedPageBreak/>
        <w:tab/>
        <w:t xml:space="preserve">Suprotno žalbenim navodima tuženika pravilno je prvostupanjski sud primijenio relevantne odredbe materijalnog prava navedene u pobijanoj presudi, te prihvatio tužbeni zahtjev, a nakon što je na temelju dokaza provedenih tijekom postupka posebice uvidom u radnu </w:t>
      </w:r>
      <w:r w:rsidR="00777C47">
        <w:t>knjižicu</w:t>
      </w:r>
      <w:r>
        <w:t xml:space="preserve">, utvrdio </w:t>
      </w:r>
      <w:r w:rsidR="00CD0783">
        <w:t>da je prednik tuženika tužitelju</w:t>
      </w:r>
      <w:r>
        <w:t xml:space="preserve"> radni staž po osnovi poljoprivrede u radnju knjižicu upisao tek nakon što je utvrdio</w:t>
      </w:r>
      <w:r w:rsidR="00777C47">
        <w:t xml:space="preserve"> da su plaćeni obvezni doprinosi, slijedom čega se i navedeni radni staž, odnosno staž osiguranja po osnovi obavljanja poljoprivredne djelatnosti, ima vrednovati prilikom obračuna plaće. </w:t>
      </w:r>
    </w:p>
    <w:p w:rsidR="00777C47" w:rsidRDefault="00777C47" w:rsidP="00B5134B">
      <w:pPr>
        <w:jc w:val="both"/>
      </w:pPr>
    </w:p>
    <w:p w:rsidR="00125D42" w:rsidRDefault="00777C47" w:rsidP="00B5134B">
      <w:pPr>
        <w:jc w:val="both"/>
      </w:pPr>
      <w:r>
        <w:tab/>
        <w:t xml:space="preserve">Kako ovaj sud prihvaća činjenično stanje utvrđeno po </w:t>
      </w:r>
      <w:r w:rsidR="00125D42">
        <w:t>prvostupanjskom sudu kao i primjenu materijalnog prava, zbog nepotrebnog ponavljanja upućuje se i na obrazloženje prvostupanjske presude (čl. 375. st. 5. ZPP).</w:t>
      </w:r>
    </w:p>
    <w:p w:rsidR="00125D42" w:rsidRDefault="00125D42" w:rsidP="00B5134B">
      <w:pPr>
        <w:jc w:val="both"/>
      </w:pPr>
    </w:p>
    <w:p w:rsidR="001E2BE9" w:rsidRDefault="00125D42" w:rsidP="00B5134B">
      <w:pPr>
        <w:jc w:val="both"/>
      </w:pPr>
      <w:r>
        <w:tab/>
        <w:t xml:space="preserve">I odluka o troškovima postupka pravilna je i zakonito donesena primjenom čl. 154. st. 1. i čl. 155. ZPP. </w:t>
      </w:r>
      <w:r w:rsidR="001E2BE9">
        <w:t xml:space="preserve">  </w:t>
      </w:r>
    </w:p>
    <w:p w:rsidR="00125D42" w:rsidRDefault="00125D42" w:rsidP="00B5134B">
      <w:pPr>
        <w:jc w:val="both"/>
      </w:pPr>
    </w:p>
    <w:p w:rsidR="00125D42" w:rsidRDefault="00125D42" w:rsidP="00B5134B">
      <w:pPr>
        <w:jc w:val="both"/>
      </w:pPr>
      <w:r>
        <w:tab/>
        <w:t>Slijedom izloženog, po osnovi čl. 368. st. 1. ZPP</w:t>
      </w:r>
      <w:r w:rsidR="00C806F3">
        <w:t xml:space="preserve"> valjalo je donijeti odluku kao u izreci.</w:t>
      </w:r>
    </w:p>
    <w:p w:rsidR="00C806F3" w:rsidRDefault="00C806F3" w:rsidP="00B5134B">
      <w:pPr>
        <w:jc w:val="both"/>
      </w:pPr>
    </w:p>
    <w:p w:rsidR="00C806F3" w:rsidRDefault="00C806F3" w:rsidP="00B5134B">
      <w:pPr>
        <w:jc w:val="both"/>
      </w:pPr>
      <w:r>
        <w:tab/>
        <w:t xml:space="preserve">U nepobijanom dijelu u kojem je tužbeni zahtjev odbijen (dio toč. I. izreke), kao i odluci o parničnom trošku (toč. III. izreke) prvostupanjska presuda ostaje neizmijenjena. </w:t>
      </w:r>
    </w:p>
    <w:p w:rsidR="0008716C" w:rsidRDefault="0008716C" w:rsidP="00874B3B">
      <w:pPr>
        <w:jc w:val="both"/>
      </w:pPr>
    </w:p>
    <w:p w:rsidR="00A0129D" w:rsidRDefault="00344D27" w:rsidP="00A0129D">
      <w:pPr>
        <w:jc w:val="center"/>
      </w:pPr>
      <w:r>
        <w:t>Osijek,</w:t>
      </w:r>
      <w:r w:rsidR="00A0129D">
        <w:t xml:space="preserve"> </w:t>
      </w:r>
      <w:r w:rsidR="00C806F3">
        <w:t xml:space="preserve">12. travnja </w:t>
      </w:r>
      <w:r w:rsidR="000F249C">
        <w:t>2019</w:t>
      </w:r>
      <w:r w:rsidR="00155A2E">
        <w:t>.</w:t>
      </w:r>
      <w:r w:rsidR="00A0129D">
        <w:t xml:space="preserve"> </w:t>
      </w:r>
    </w:p>
    <w:p w:rsidR="00A0129D" w:rsidRDefault="00A0129D" w:rsidP="00A0129D">
      <w:pPr>
        <w:jc w:val="center"/>
      </w:pPr>
    </w:p>
    <w:p w:rsidR="001E4D08" w:rsidRDefault="001E4D08" w:rsidP="001E4D08">
      <w:pPr>
        <w:jc w:val="center"/>
      </w:pPr>
    </w:p>
    <w:p w:rsidR="00A0129D" w:rsidRDefault="001E4D08" w:rsidP="001E4D08">
      <w:pPr>
        <w:jc w:val="center"/>
      </w:pPr>
      <w:r>
        <w:tab/>
      </w:r>
      <w:r>
        <w:tab/>
      </w:r>
      <w:r>
        <w:tab/>
      </w:r>
      <w:r>
        <w:tab/>
      </w:r>
      <w:r>
        <w:tab/>
      </w:r>
      <w:r>
        <w:tab/>
      </w:r>
      <w:r>
        <w:tab/>
      </w:r>
      <w:r>
        <w:tab/>
      </w:r>
      <w:r w:rsidR="00B362D5">
        <w:t>Sudac</w:t>
      </w:r>
    </w:p>
    <w:p w:rsidR="00475E53" w:rsidRDefault="001E4D08" w:rsidP="001E4D08">
      <w:pPr>
        <w:jc w:val="center"/>
      </w:pPr>
      <w:r>
        <w:tab/>
      </w:r>
      <w:r>
        <w:tab/>
      </w:r>
      <w:r>
        <w:tab/>
      </w:r>
      <w:r>
        <w:tab/>
      </w:r>
      <w:r>
        <w:tab/>
      </w:r>
      <w:r>
        <w:tab/>
      </w:r>
      <w:r>
        <w:tab/>
      </w:r>
      <w:r>
        <w:tab/>
      </w:r>
      <w:r w:rsidR="00A0129D">
        <w:t>Marijana Žigić</w:t>
      </w:r>
      <w:r w:rsidR="006C34C5">
        <w:t>, v.r.</w:t>
      </w:r>
    </w:p>
    <w:p w:rsidR="006C34C5" w:rsidRDefault="006C34C5" w:rsidP="001E4D08">
      <w:pPr>
        <w:jc w:val="center"/>
      </w:pPr>
    </w:p>
    <w:p w:rsidR="001E4D08" w:rsidRDefault="001E4D08" w:rsidP="001E4D08">
      <w:pPr>
        <w:jc w:val="center"/>
      </w:pPr>
    </w:p>
    <w:p w:rsidR="00146B44" w:rsidRDefault="00146B44" w:rsidP="00A0129D">
      <w:pPr>
        <w:jc w:val="both"/>
      </w:pPr>
      <w:bookmarkStart w:id="0" w:name="_GoBack"/>
      <w:bookmarkEnd w:id="0"/>
    </w:p>
    <w:sectPr w:rsidR="00146B44" w:rsidSect="0012032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27" w:rsidRDefault="00120327" w:rsidP="00120327">
      <w:r>
        <w:separator/>
      </w:r>
    </w:p>
  </w:endnote>
  <w:endnote w:type="continuationSeparator" w:id="0">
    <w:p w:rsidR="00120327" w:rsidRDefault="00120327" w:rsidP="0012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27" w:rsidRDefault="00120327" w:rsidP="00120327">
      <w:r>
        <w:separator/>
      </w:r>
    </w:p>
  </w:footnote>
  <w:footnote w:type="continuationSeparator" w:id="0">
    <w:p w:rsidR="00120327" w:rsidRDefault="00120327" w:rsidP="0012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27" w:rsidRDefault="00120327" w:rsidP="000F249C">
    <w:pPr>
      <w:pStyle w:val="Zaglavlje"/>
      <w:tabs>
        <w:tab w:val="left" w:pos="5805"/>
        <w:tab w:val="left" w:pos="7170"/>
      </w:tabs>
    </w:pPr>
    <w:r>
      <w:tab/>
    </w:r>
    <w:sdt>
      <w:sdtPr>
        <w:id w:val="856078048"/>
        <w:docPartObj>
          <w:docPartGallery w:val="Page Numbers (Top of Page)"/>
          <w:docPartUnique/>
        </w:docPartObj>
      </w:sdtPr>
      <w:sdtEndPr/>
      <w:sdtContent>
        <w:r>
          <w:fldChar w:fldCharType="begin"/>
        </w:r>
        <w:r>
          <w:instrText>PAGE   \* MERGEFORMAT</w:instrText>
        </w:r>
        <w:r>
          <w:fldChar w:fldCharType="separate"/>
        </w:r>
        <w:r w:rsidR="0076273E">
          <w:rPr>
            <w:noProof/>
          </w:rPr>
          <w:t>4</w:t>
        </w:r>
        <w:r>
          <w:fldChar w:fldCharType="end"/>
        </w:r>
      </w:sdtContent>
    </w:sdt>
    <w:r>
      <w:tab/>
    </w:r>
    <w:r w:rsidR="00660D52" w:rsidRPr="00660D52">
      <w:t>Poslovni broj Gž R-150/2019-2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9"/>
    <w:rsid w:val="0008716C"/>
    <w:rsid w:val="000F249C"/>
    <w:rsid w:val="00120327"/>
    <w:rsid w:val="00125D42"/>
    <w:rsid w:val="00126857"/>
    <w:rsid w:val="00146B44"/>
    <w:rsid w:val="00155A2E"/>
    <w:rsid w:val="001B2D9C"/>
    <w:rsid w:val="001E2BE9"/>
    <w:rsid w:val="001E4D08"/>
    <w:rsid w:val="00245842"/>
    <w:rsid w:val="00291AD3"/>
    <w:rsid w:val="002C7005"/>
    <w:rsid w:val="00344D27"/>
    <w:rsid w:val="00356CE3"/>
    <w:rsid w:val="003A01EC"/>
    <w:rsid w:val="003B386E"/>
    <w:rsid w:val="003B72C4"/>
    <w:rsid w:val="00475E53"/>
    <w:rsid w:val="004C7252"/>
    <w:rsid w:val="00552997"/>
    <w:rsid w:val="005879E0"/>
    <w:rsid w:val="005B3C5F"/>
    <w:rsid w:val="006075F1"/>
    <w:rsid w:val="00660D52"/>
    <w:rsid w:val="00680B96"/>
    <w:rsid w:val="006818E4"/>
    <w:rsid w:val="006C34C5"/>
    <w:rsid w:val="006F2CB7"/>
    <w:rsid w:val="0076273E"/>
    <w:rsid w:val="00770713"/>
    <w:rsid w:val="00777C47"/>
    <w:rsid w:val="007C17FD"/>
    <w:rsid w:val="007D44A6"/>
    <w:rsid w:val="007E3F3B"/>
    <w:rsid w:val="008172BB"/>
    <w:rsid w:val="0082199C"/>
    <w:rsid w:val="00833319"/>
    <w:rsid w:val="008453CA"/>
    <w:rsid w:val="00865ED3"/>
    <w:rsid w:val="00874B3B"/>
    <w:rsid w:val="00895166"/>
    <w:rsid w:val="00906C31"/>
    <w:rsid w:val="00907575"/>
    <w:rsid w:val="00952F06"/>
    <w:rsid w:val="009A5A1B"/>
    <w:rsid w:val="00A0129D"/>
    <w:rsid w:val="00A5126E"/>
    <w:rsid w:val="00B1471E"/>
    <w:rsid w:val="00B22645"/>
    <w:rsid w:val="00B362D5"/>
    <w:rsid w:val="00B41EAF"/>
    <w:rsid w:val="00B5134B"/>
    <w:rsid w:val="00BB459D"/>
    <w:rsid w:val="00C806F3"/>
    <w:rsid w:val="00C91E97"/>
    <w:rsid w:val="00C9682A"/>
    <w:rsid w:val="00CD0783"/>
    <w:rsid w:val="00D13F5D"/>
    <w:rsid w:val="00D33568"/>
    <w:rsid w:val="00DC2121"/>
    <w:rsid w:val="00DC77B5"/>
    <w:rsid w:val="00E22225"/>
    <w:rsid w:val="00E46797"/>
    <w:rsid w:val="00E54B39"/>
    <w:rsid w:val="00EB0866"/>
    <w:rsid w:val="00F3482A"/>
    <w:rsid w:val="00F501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paragraph" w:styleId="Naslov1">
    <w:name w:val="heading 1"/>
    <w:basedOn w:val="Normal"/>
    <w:next w:val="Normal"/>
    <w:link w:val="Naslov1Char"/>
    <w:uiPriority w:val="9"/>
    <w:qFormat/>
    <w:rsid w:val="007E3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character" w:customStyle="1" w:styleId="Naslov1Char">
    <w:name w:val="Naslov 1 Char"/>
    <w:basedOn w:val="Zadanifontodlomka"/>
    <w:link w:val="Naslov1"/>
    <w:uiPriority w:val="9"/>
    <w:rsid w:val="007E3F3B"/>
    <w:rPr>
      <w:rFonts w:asciiTheme="majorHAnsi" w:eastAsiaTheme="majorEastAsia" w:hAnsiTheme="majorHAnsi" w:cstheme="majorBidi"/>
      <w:b/>
      <w:bCs/>
      <w:color w:val="365F91" w:themeColor="accent1" w:themeShade="BF"/>
      <w:sz w:val="28"/>
      <w:szCs w:val="28"/>
    </w:rPr>
  </w:style>
  <w:style w:type="character" w:styleId="Tekstrezerviranogmjesta">
    <w:name w:val="Placeholder Text"/>
    <w:basedOn w:val="Zadanifontodlomka"/>
    <w:uiPriority w:val="99"/>
    <w:semiHidden/>
    <w:rsid w:val="00D13F5D"/>
    <w:rPr>
      <w:color w:val="808080"/>
      <w:bdr w:val="none" w:sz="0" w:space="0" w:color="auto"/>
      <w:shd w:val="clear" w:color="auto" w:fill="auto"/>
    </w:rPr>
  </w:style>
  <w:style w:type="character" w:customStyle="1" w:styleId="eSPISCCParagraphDefaultFont">
    <w:name w:val="eSPIS_CC_Paragraph Default Font"/>
    <w:basedOn w:val="Zadanifontodlomka"/>
    <w:rsid w:val="00D13F5D"/>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D13F5D"/>
    <w:rPr>
      <w:szCs w:val="24"/>
      <w:bdr w:val="none" w:sz="0" w:space="0" w:color="auto"/>
      <w:shd w:val="clear" w:color="auto" w:fill="FFFFCC"/>
      <w:lang w:val="hr-HR"/>
    </w:rPr>
  </w:style>
  <w:style w:type="character" w:customStyle="1" w:styleId="PozadinaSvijetloCrvena">
    <w:name w:val="Pozadina_SvijetloCrvena"/>
    <w:basedOn w:val="eSPISCCParagraphDefaultFont"/>
    <w:rsid w:val="00D13F5D"/>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D13F5D"/>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paragraph" w:styleId="Naslov1">
    <w:name w:val="heading 1"/>
    <w:basedOn w:val="Normal"/>
    <w:next w:val="Normal"/>
    <w:link w:val="Naslov1Char"/>
    <w:uiPriority w:val="9"/>
    <w:qFormat/>
    <w:rsid w:val="007E3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character" w:customStyle="1" w:styleId="Naslov1Char">
    <w:name w:val="Naslov 1 Char"/>
    <w:basedOn w:val="Zadanifontodlomka"/>
    <w:link w:val="Naslov1"/>
    <w:uiPriority w:val="9"/>
    <w:rsid w:val="007E3F3B"/>
    <w:rPr>
      <w:rFonts w:asciiTheme="majorHAnsi" w:eastAsiaTheme="majorEastAsia" w:hAnsiTheme="majorHAnsi" w:cstheme="majorBidi"/>
      <w:b/>
      <w:bCs/>
      <w:color w:val="365F91" w:themeColor="accent1" w:themeShade="BF"/>
      <w:sz w:val="28"/>
      <w:szCs w:val="28"/>
    </w:rPr>
  </w:style>
  <w:style w:type="character" w:styleId="Tekstrezerviranogmjesta">
    <w:name w:val="Placeholder Text"/>
    <w:basedOn w:val="Zadanifontodlomka"/>
    <w:uiPriority w:val="99"/>
    <w:semiHidden/>
    <w:rsid w:val="00D13F5D"/>
    <w:rPr>
      <w:color w:val="808080"/>
      <w:bdr w:val="none" w:sz="0" w:space="0" w:color="auto"/>
      <w:shd w:val="clear" w:color="auto" w:fill="auto"/>
    </w:rPr>
  </w:style>
  <w:style w:type="character" w:customStyle="1" w:styleId="eSPISCCParagraphDefaultFont">
    <w:name w:val="eSPIS_CC_Paragraph Default Font"/>
    <w:basedOn w:val="Zadanifontodlomka"/>
    <w:rsid w:val="00D13F5D"/>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D13F5D"/>
    <w:rPr>
      <w:szCs w:val="24"/>
      <w:bdr w:val="none" w:sz="0" w:space="0" w:color="auto"/>
      <w:shd w:val="clear" w:color="auto" w:fill="FFFFCC"/>
      <w:lang w:val="hr-HR"/>
    </w:rPr>
  </w:style>
  <w:style w:type="character" w:customStyle="1" w:styleId="PozadinaSvijetloCrvena">
    <w:name w:val="Pozadina_SvijetloCrvena"/>
    <w:basedOn w:val="eSPISCCParagraphDefaultFont"/>
    <w:rsid w:val="00D13F5D"/>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D13F5D"/>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7794">
      <w:bodyDiv w:val="1"/>
      <w:marLeft w:val="0"/>
      <w:marRight w:val="0"/>
      <w:marTop w:val="0"/>
      <w:marBottom w:val="0"/>
      <w:divBdr>
        <w:top w:val="none" w:sz="0" w:space="0" w:color="auto"/>
        <w:left w:val="none" w:sz="0" w:space="0" w:color="auto"/>
        <w:bottom w:val="none" w:sz="0" w:space="0" w:color="auto"/>
        <w:right w:val="none" w:sz="0" w:space="0" w:color="auto"/>
      </w:divBdr>
    </w:div>
    <w:div w:id="1293050130">
      <w:bodyDiv w:val="1"/>
      <w:marLeft w:val="0"/>
      <w:marRight w:val="0"/>
      <w:marTop w:val="0"/>
      <w:marBottom w:val="0"/>
      <w:divBdr>
        <w:top w:val="none" w:sz="0" w:space="0" w:color="auto"/>
        <w:left w:val="none" w:sz="0" w:space="0" w:color="auto"/>
        <w:bottom w:val="none" w:sz="0" w:space="0" w:color="auto"/>
        <w:right w:val="none" w:sz="0" w:space="0" w:color="auto"/>
      </w:divBdr>
    </w:div>
    <w:div w:id="20480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12. travnja 2019.</izvorni_sadrzaj>
    <derivirana_varijabla naziv="DomainObject.DatumDonosenjaOdluke_1">12. travnja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150</izvorni_sadrzaj>
    <derivirana_varijabla naziv="DomainObject.Predmet.Broj_1">150</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5. travnja 2019.</izvorni_sadrzaj>
    <derivirana_varijabla naziv="DomainObject.Predmet.DatumOsnivanja_1">5. travnja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4051.07</izvorni_sadrzaj>
    <derivirana_varijabla naziv="DomainObject.Predmet.InicijalnaVrijednost_1">4051.07</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R-150/2019</izvorni_sadrzaj>
    <derivirana_varijabla naziv="DomainObject.Predmet.OznakaBroj_1">Gž R-150/2019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HRVATSKI ZAVOD ZA MIROVINSKO OSIGURANJE</izvorni_sadrzaj>
    <derivirana_varijabla naziv="DomainObject.Predmet.ProtustrankaFormated_1">  HRVATSKI ZAVOD ZA MIROVINSKO OSIGURANJE</derivirana_varijabla>
  </DomainObject.Predmet.ProtustrankaFormated>
  <DomainObject.Predmet.ProtustrankaFormatedOIB>
    <izvorni_sadrzaj>  HRVATSKI ZAVOD ZA MIROVINSKO OSIGURANJE, OIB 84397956623</izvorni_sadrzaj>
    <derivirana_varijabla naziv="DomainObject.Predmet.ProtustrankaFormatedOIB_1">  HRVATSKI ZAVOD ZA MIROVINSKO OSIGURANJE, OIB 84397956623</derivirana_varijabla>
  </DomainObject.Predmet.ProtustrankaFormatedOIB>
  <DomainObject.Predmet.ProtustrankaFormatedWithAdress>
    <izvorni_sadrzaj> HRVATSKI ZAVOD ZA MIROVINSKO OSIGURANJE, A. Mihanovića 3, 10000 Zagreb</izvorni_sadrzaj>
    <derivirana_varijabla naziv="DomainObject.Predmet.ProtustrankaFormatedWithAdress_1"> HRVATSKI ZAVOD ZA MIROVINSKO OSIGURANJE, A. Mihanovića 3, 10000 Zagreb</derivirana_varijabla>
  </DomainObject.Predmet.ProtustrankaFormatedWithAdress>
  <DomainObject.Predmet.ProtustrankaFormatedWithAdressOIB>
    <izvorni_sadrzaj> HRVATSKI ZAVOD ZA MIROVINSKO OSIGURANJE, OIB 84397956623, A. Mihanovića 3, 10000 Zagreb</izvorni_sadrzaj>
    <derivirana_varijabla naziv="DomainObject.Predmet.ProtustrankaFormatedWithAdressOIB_1"> HRVATSKI ZAVOD ZA MIROVINSKO OSIGURANJE, OIB 84397956623, A. Mihanovića 3, 10000 Zagreb</derivirana_varijabla>
  </DomainObject.Predmet.ProtustrankaFormatedWithAdressOIB>
  <DomainObject.Predmet.ProtustrankaWithAdress>
    <izvorni_sadrzaj>HRVATSKI ZAVOD ZA MIROVINSKO OSIGURANJE A. Mihanovića 3, 10000 Zagreb</izvorni_sadrzaj>
    <derivirana_varijabla naziv="DomainObject.Predmet.ProtustrankaWithAdress_1">HRVATSKI ZAVOD ZA MIROVINSKO OSIGURANJE A. Mihanovića 3, 10000 Zagreb</derivirana_varijabla>
  </DomainObject.Predmet.ProtustrankaWithAdress>
  <DomainObject.Predmet.ProtustrankaWithAdressOIB>
    <izvorni_sadrzaj>HRVATSKI ZAVOD ZA MIROVINSKO OSIGURANJE, OIB 84397956623, A. Mihanovića 3, 10000 Zagreb</izvorni_sadrzaj>
    <derivirana_varijabla naziv="DomainObject.Predmet.ProtustrankaWithAdressOIB_1">HRVATSKI ZAVOD ZA MIROVINSKO OSIGURANJE, OIB 84397956623, A. Mihanovića 3, 10000 Zagreb</derivirana_varijabla>
  </DomainObject.Predmet.ProtustrankaWithAdressOIB>
  <DomainObject.Predmet.ProtustrankaNazivFormated>
    <izvorni_sadrzaj>HRVATSKI ZAVOD ZA MIROVINSKO OSIGURANJE</izvorni_sadrzaj>
    <derivirana_varijabla naziv="DomainObject.Predmet.ProtustrankaNazivFormated_1">HRVATSKI ZAVOD ZA MIROVINSKO OSIGURANJE</derivirana_varijabla>
  </DomainObject.Predmet.ProtustrankaNazivFormated>
  <DomainObject.Predmet.ProtustrankaNazivFormatedOIB>
    <izvorni_sadrzaj>HRVATSKI ZAVOD ZA MIROVINSKO OSIGURANJE, OIB 84397956623</izvorni_sadrzaj>
    <derivirana_varijabla naziv="DomainObject.Predmet.ProtustrankaNazivFormatedOIB_1">HRVATSKI ZAVOD ZA MIROVINSKO OSIGURANJE, OIB 84397956623</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Snježana Lozej</izvorni_sadrzaj>
    <derivirana_varijabla naziv="DomainObject.Predmet.StrankaFormated_1">  Snježana Lozej</derivirana_varijabla>
  </DomainObject.Predmet.StrankaFormated>
  <DomainObject.Predmet.StrankaFormatedOIB>
    <izvorni_sadrzaj>  Snježana Lozej, OIB 05150354510</izvorni_sadrzaj>
    <derivirana_varijabla naziv="DomainObject.Predmet.StrankaFormatedOIB_1">  Snježana Lozej, OIB 05150354510</derivirana_varijabla>
  </DomainObject.Predmet.StrankaFormatedOIB>
  <DomainObject.Predmet.StrankaFormatedWithAdress>
    <izvorni_sadrzaj> Snježana Lozej, Josipa Anića 13a, 10000 Zagreb</izvorni_sadrzaj>
    <derivirana_varijabla naziv="DomainObject.Predmet.StrankaFormatedWithAdress_1"> Snježana Lozej, Josipa Anića 13a, 10000 Zagreb</derivirana_varijabla>
  </DomainObject.Predmet.StrankaFormatedWithAdress>
  <DomainObject.Predmet.StrankaFormatedWithAdressOIB>
    <izvorni_sadrzaj> Snježana Lozej, OIB 05150354510, Josipa Anića 13a, 10000 Zagreb</izvorni_sadrzaj>
    <derivirana_varijabla naziv="DomainObject.Predmet.StrankaFormatedWithAdressOIB_1"> Snježana Lozej, OIB 05150354510, Josipa Anića 13a, 10000 Zagreb</derivirana_varijabla>
  </DomainObject.Predmet.StrankaFormatedWithAdressOIB>
  <DomainObject.Predmet.StrankaWithAdress>
    <izvorni_sadrzaj>Snježana Lozej Josipa Anića 13a,10000 Zagreb</izvorni_sadrzaj>
    <derivirana_varijabla naziv="DomainObject.Predmet.StrankaWithAdress_1">Snježana Lozej Josipa Anića 13a,10000 Zagreb</derivirana_varijabla>
  </DomainObject.Predmet.StrankaWithAdress>
  <DomainObject.Predmet.StrankaWithAdressOIB>
    <izvorni_sadrzaj>Snježana Lozej, OIB 05150354510, Josipa Anića 13a,10000 Zagreb</izvorni_sadrzaj>
    <derivirana_varijabla naziv="DomainObject.Predmet.StrankaWithAdressOIB_1">Snježana Lozej, OIB 05150354510, Josipa Anića 13a,10000 Zagreb</derivirana_varijabla>
  </DomainObject.Predmet.StrankaWithAdressOIB>
  <DomainObject.Predmet.StrankaNazivFormated>
    <izvorni_sadrzaj>Snježana Lozej</izvorni_sadrzaj>
    <derivirana_varijabla naziv="DomainObject.Predmet.StrankaNazivFormated_1">Snježana Lozej</derivirana_varijabla>
  </DomainObject.Predmet.StrankaNazivFormated>
  <DomainObject.Predmet.StrankaNazivFormatedOIB>
    <izvorni_sadrzaj>Snježana Lozej, OIB 05150354510</izvorni_sadrzaj>
    <derivirana_varijabla naziv="DomainObject.Predmet.StrankaNazivFormatedOIB_1">Snježana Lozej, OIB 05150354510</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Materijalna davanja (isplata)</izvorni_sadrzaj>
    <derivirana_varijabla naziv="DomainObject.Predmet.VrstaSpora.Naziv_1">Materijalna davanja (isplata)</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Snježana Lozej</item>
    </izvorni_sadrzaj>
    <derivirana_varijabla naziv="DomainObject.Predmet.StrankaListFormated_1">
      <item>Snježana Lozej</item>
    </derivirana_varijabla>
  </DomainObject.Predmet.StrankaListFormated>
  <DomainObject.Predmet.StrankaListFormatedOIB>
    <izvorni_sadrzaj>
      <item>Snježana Lozej, OIB 05150354510</item>
    </izvorni_sadrzaj>
    <derivirana_varijabla naziv="DomainObject.Predmet.StrankaListFormatedOIB_1">
      <item>Snježana Lozej, OIB 05150354510</item>
    </derivirana_varijabla>
  </DomainObject.Predmet.StrankaListFormatedOIB>
  <DomainObject.Predmet.StrankaListFormatedWithAdress>
    <izvorni_sadrzaj>
      <item>Snježana Lozej, Josipa Anića 13a, 10000 Zagreb</item>
    </izvorni_sadrzaj>
    <derivirana_varijabla naziv="DomainObject.Predmet.StrankaListFormatedWithAdress_1">
      <item>Snježana Lozej, Josipa Anića 13a, 10000 Zagreb</item>
    </derivirana_varijabla>
  </DomainObject.Predmet.StrankaListFormatedWithAdress>
  <DomainObject.Predmet.StrankaListFormatedWithAdressOIB>
    <izvorni_sadrzaj>
      <item>Snježana Lozej, OIB 05150354510, Josipa Anića 13a, 10000 Zagreb</item>
    </izvorni_sadrzaj>
    <derivirana_varijabla naziv="DomainObject.Predmet.StrankaListFormatedWithAdressOIB_1">
      <item>Snježana Lozej, OIB 05150354510, Josipa Anića 13a, 10000 Zagreb</item>
    </derivirana_varijabla>
  </DomainObject.Predmet.StrankaListFormatedWithAdressOIB>
  <DomainObject.Predmet.StrankaListNazivFormated>
    <izvorni_sadrzaj>
      <item>Snježana Lozej</item>
    </izvorni_sadrzaj>
    <derivirana_varijabla naziv="DomainObject.Predmet.StrankaListNazivFormated_1">
      <item>Snježana Lozej</item>
    </derivirana_varijabla>
  </DomainObject.Predmet.StrankaListNazivFormated>
  <DomainObject.Predmet.StrankaListNazivFormatedOIB>
    <izvorni_sadrzaj>
      <item>Snježana Lozej, OIB 05150354510</item>
    </izvorni_sadrzaj>
    <derivirana_varijabla naziv="DomainObject.Predmet.StrankaListNazivFormatedOIB_1">
      <item>Snježana Lozej, OIB 05150354510</item>
    </derivirana_varijabla>
  </DomainObject.Predmet.StrankaListNazivFormatedOIB>
  <DomainObject.Predmet.ProtuStrankaListFormated>
    <izvorni_sadrzaj>
      <item>HRVATSKI ZAVOD ZA MIROVINSKO OSIGURANJE</item>
    </izvorni_sadrzaj>
    <derivirana_varijabla naziv="DomainObject.Predmet.ProtuStrankaListFormated_1">
      <item>HRVATSKI ZAVOD ZA MIROVINSKO OSIGURANJE</item>
    </derivirana_varijabla>
  </DomainObject.Predmet.ProtuStrankaListFormated>
  <DomainObject.Predmet.ProtuStrankaListFormatedOIB>
    <izvorni_sadrzaj>
      <item>HRVATSKI ZAVOD ZA MIROVINSKO OSIGURANJE, OIB 84397956623</item>
    </izvorni_sadrzaj>
    <derivirana_varijabla naziv="DomainObject.Predmet.ProtuStrankaListFormatedOIB_1">
      <item>HRVATSKI ZAVOD ZA MIROVINSKO OSIGURANJE, OIB 84397956623</item>
    </derivirana_varijabla>
  </DomainObject.Predmet.ProtuStrankaListFormatedOIB>
  <DomainObject.Predmet.ProtuStrankaListFormatedWithAdress>
    <izvorni_sadrzaj>
      <item>HRVATSKI ZAVOD ZA MIROVINSKO OSIGURANJE, A. Mihanovića 3, 10000 Zagreb</item>
    </izvorni_sadrzaj>
    <derivirana_varijabla naziv="DomainObject.Predmet.ProtuStrankaListFormatedWithAdress_1">
      <item>HRVATSKI ZAVOD ZA MIROVINSKO OSIGURANJE, A. Mihanovića 3, 10000 Zagreb</item>
    </derivirana_varijabla>
  </DomainObject.Predmet.ProtuStrankaListFormatedWithAdress>
  <DomainObject.Predmet.ProtuStrankaListFormatedWithAdressOIB>
    <izvorni_sadrzaj>
      <item>HRVATSKI ZAVOD ZA MIROVINSKO OSIGURANJE, OIB 84397956623, A. Mihanovića 3, 10000 Zagreb</item>
    </izvorni_sadrzaj>
    <derivirana_varijabla naziv="DomainObject.Predmet.ProtuStrankaListFormatedWithAdressOIB_1">
      <item>HRVATSKI ZAVOD ZA MIROVINSKO OSIGURANJE, OIB 84397956623, A. Mihanovića 3, 10000 Zagreb</item>
    </derivirana_varijabla>
  </DomainObject.Predmet.ProtuStrankaListFormatedWithAdressOIB>
  <DomainObject.Predmet.ProtuStrankaListNazivFormated>
    <izvorni_sadrzaj>
      <item>HRVATSKI ZAVOD ZA MIROVINSKO OSIGURANJE</item>
    </izvorni_sadrzaj>
    <derivirana_varijabla naziv="DomainObject.Predmet.ProtuStrankaListNazivFormated_1">
      <item>HRVATSKI ZAVOD ZA MIROVINSKO OSIGURANJE</item>
    </derivirana_varijabla>
  </DomainObject.Predmet.ProtuStrankaListNazivFormated>
  <DomainObject.Predmet.ProtuStrankaListNazivFormatedOIB>
    <izvorni_sadrzaj>
      <item>HRVATSKI ZAVOD ZA MIROVINSKO OSIGURANJE, OIB 84397956623</item>
    </izvorni_sadrzaj>
    <derivirana_varijabla naziv="DomainObject.Predmet.ProtuStrankaListNazivFormatedOIB_1">
      <item>HRVATSKI ZAVOD ZA MIROVINSKO OSIGURANJE, OIB 84397956623</item>
    </derivirana_varijabla>
  </DomainObject.Predmet.ProtuStrankaListNazivFormatedOIB>
  <DomainObject.Predmet.OstaliListFormated>
    <izvorni_sadrzaj>
      <item>Branka Šojić-Mićunović</item>
    </izvorni_sadrzaj>
    <derivirana_varijabla naziv="DomainObject.Predmet.OstaliListFormated_1">
      <item>Branka Šojić-Mićunović</item>
    </derivirana_varijabla>
  </DomainObject.Predmet.OstaliListFormated>
  <DomainObject.Predmet.OstaliListFormatedOIB>
    <izvorni_sadrzaj>
      <item>Branka Šojić-Mićunović</item>
    </izvorni_sadrzaj>
    <derivirana_varijabla naziv="DomainObject.Predmet.OstaliListFormatedOIB_1">
      <item>Branka Šojić-Mićunović</item>
    </derivirana_varijabla>
  </DomainObject.Predmet.OstaliListFormatedOIB>
  <DomainObject.Predmet.OstaliListFormatedWithAdress>
    <izvorni_sadrzaj>
      <item>Branka Šojić-Mićunović, Draškovićeva 48, 10000 Zagreb</item>
    </izvorni_sadrzaj>
    <derivirana_varijabla naziv="DomainObject.Predmet.OstaliListFormatedWithAdress_1">
      <item>Branka Šojić-Mićunović, Draškovićeva 48, 10000 Zagreb</item>
    </derivirana_varijabla>
  </DomainObject.Predmet.OstaliListFormatedWithAdress>
  <DomainObject.Predmet.OstaliListFormatedWithAdressOIB>
    <izvorni_sadrzaj>
      <item>Branka Šojić-Mićunović, Draškovićeva 48, 10000 Zagreb</item>
    </izvorni_sadrzaj>
    <derivirana_varijabla naziv="DomainObject.Predmet.OstaliListFormatedWithAdressOIB_1">
      <item>Branka Šojić-Mićunović, Draškovićeva 48, 10000 Zagreb</item>
    </derivirana_varijabla>
  </DomainObject.Predmet.OstaliListFormatedWithAdressOIB>
  <DomainObject.Predmet.OstaliListNazivFormated>
    <izvorni_sadrzaj>
      <item>Branka Šojić-Mićunović</item>
    </izvorni_sadrzaj>
    <derivirana_varijabla naziv="DomainObject.Predmet.OstaliListNazivFormated_1">
      <item>Branka Šojić-Mićunović</item>
    </derivirana_varijabla>
  </DomainObject.Predmet.OstaliListNazivFormated>
  <DomainObject.Predmet.OstaliListNazivFormatedOIB>
    <izvorni_sadrzaj>
      <item>Branka Šojić-Mićunović</item>
    </izvorni_sadrzaj>
    <derivirana_varijabla naziv="DomainObject.Predmet.OstaliListNazivFormatedOIB_1">
      <item>Branka Šojić-Mićunović</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17. travnja 2019.</izvorni_sadrzaj>
    <derivirana_varijabla naziv="DomainObject.Datum_1">17. travnja 2019.</derivirana_varijabla>
  </DomainObject.Datum>
  <DomainObject.PoslovniBrojDokumenta>
    <izvorni_sadrzaj/>
    <derivirana_varijabla naziv="DomainObject.PoslovniBrojDokumenta_1"/>
  </DomainObject.PoslovniBrojDokumenta>
  <DomainObject.Predmet.StrankaIDrugi>
    <izvorni_sadrzaj>Snježana Lozej</izvorni_sadrzaj>
    <derivirana_varijabla naziv="DomainObject.Predmet.StrankaIDrugi_1">Snježana Lozej</derivirana_varijabla>
  </DomainObject.Predmet.StrankaIDrugi>
  <DomainObject.Predmet.ProtustrankaIDrugi>
    <izvorni_sadrzaj>HRVATSKI ZAVOD ZA MIROVINSKO OSIGURANJE</izvorni_sadrzaj>
    <derivirana_varijabla naziv="DomainObject.Predmet.ProtustrankaIDrugi_1">HRVATSKI ZAVOD ZA MIROVINSKO OSIGURANJE</derivirana_varijabla>
  </DomainObject.Predmet.ProtustrankaIDrugi>
  <DomainObject.Predmet.StrankaIDrugiAdressOIB>
    <izvorni_sadrzaj>Snježana Lozej, OIB 05150354510, Josipa Anića 13a, 10000 Zagreb</izvorni_sadrzaj>
    <derivirana_varijabla naziv="DomainObject.Predmet.StrankaIDrugiAdressOIB_1">Snježana Lozej, OIB 05150354510, Josipa Anića 13a, 10000 Zagreb</derivirana_varijabla>
  </DomainObject.Predmet.StrankaIDrugiAdressOIB>
  <DomainObject.Predmet.ProtustrankaIDrugiAdressOIB>
    <izvorni_sadrzaj>HRVATSKI ZAVOD ZA MIROVINSKO OSIGURANJE, OIB 84397956623, A. Mihanovića 3, 10000 Zagreb</izvorni_sadrzaj>
    <derivirana_varijabla naziv="DomainObject.Predmet.ProtustrankaIDrugiAdressOIB_1">HRVATSKI ZAVOD ZA MIROVINSKO OSIGURANJE, OIB 84397956623, A. Mihanovića 3,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HRVATSKI ZAVOD ZA MIROVINSKO OSIGURANJE</item>
      <item>Snježana Lozej</item>
      <item>Branka Šojić-Mićunović</item>
    </izvorni_sadrzaj>
    <derivirana_varijabla naziv="DomainObject.Predmet.SudioniciListNaziv_1">
      <item>HRVATSKI ZAVOD ZA MIROVINSKO OSIGURANJE</item>
      <item>Snježana Lozej</item>
      <item>Branka Šojić-Mićunović</item>
    </derivirana_varijabla>
  </DomainObject.Predmet.SudioniciListNaziv>
  <DomainObject.Predmet.SudioniciListAdressOIB>
    <izvorni_sadrzaj>
      <item>HRVATSKI ZAVOD ZA MIROVINSKO OSIGURANJE, OIB 84397956623, A. Mihanovića 3,10000 Zagreb</item>
      <item>Snježana Lozej, OIB 05150354510, Josipa Anića 13a,10000 Zagreb</item>
      <item>Branka Šojić-Mićunović, Draškovićeva 48,10000 Zagreb</item>
    </izvorni_sadrzaj>
    <derivirana_varijabla naziv="DomainObject.Predmet.SudioniciListAdressOIB_1">
      <item>HRVATSKI ZAVOD ZA MIROVINSKO OSIGURANJE, OIB 84397956623, A. Mihanovića 3,10000 Zagreb</item>
      <item>Snježana Lozej, OIB 05150354510, Josipa Anića 13a,10000 Zagreb</item>
      <item>Branka Šojić-Mićunović, Draškovićeva 48,10000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84397956623</item>
      <item>, OIB 05150354510</item>
      <item>, OIB null</item>
    </izvorni_sadrzaj>
    <derivirana_varijabla naziv="DomainObject.Predmet.SudioniciListNazivOIB_1">
      <item>, OIB 84397956623</item>
      <item>, OIB 05150354510</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Pr-834/2018</izvorni_sadrzaj>
    <derivirana_varijabla naziv="DomainObject.Predmet.OznakaNizestupanjskogPredmeta_1">Pr-834/2018</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1243</Words>
  <Characters>7087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2019-04-17T06:05:00Z</cp:lastPrinted>
  <dcterms:created xsi:type="dcterms:W3CDTF">2020-07-01T10:11:00Z</dcterms:created>
  <dcterms:modified xsi:type="dcterms:W3CDTF">2020-07-01T10:11:00Z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 R-150-2019.docx)</vt:lpwstr>
  </property>
  <property fmtid="{D5CDD505-2E9C-101B-9397-08002B2CF9AE}" pid="4" name="CC_coloring">
    <vt:bool>false</vt:bool>
  </property>
  <property fmtid="{D5CDD505-2E9C-101B-9397-08002B2CF9AE}" pid="5" name="BrojStranica">
    <vt:i4>4</vt:i4>
  </property>
</Properties>
</file>